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A331C" w14:textId="63A59C84" w:rsidR="000C338A" w:rsidRPr="000C338A" w:rsidRDefault="00DC53A0" w:rsidP="000C338A">
      <w:pPr>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pPr>
      <w:r>
        <w:rPr>
          <w:rFonts w:ascii="Calibri" w:hAnsi="Calibri" w:cs="Calibri"/>
          <w:b/>
          <w:bCs/>
          <w:noProof/>
          <w:lang w:val="en-US"/>
        </w:rPr>
        <w:drawing>
          <wp:anchor distT="0" distB="0" distL="114300" distR="114300" simplePos="0" relativeHeight="251660287" behindDoc="1" locked="0" layoutInCell="1" allowOverlap="1" wp14:anchorId="399DB14C" wp14:editId="4DC8F646">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338A" w:rsidRPr="000C338A">
        <w:rPr>
          <w:rFonts w:ascii="Calibri" w:hAnsi="Calibri" w:cs="Calibri"/>
          <w:b/>
          <w:bCs/>
          <w:noProof/>
          <w:color w:val="000000" w:themeColor="text1"/>
          <w:sz w:val="22"/>
          <w:szCs w:val="22"/>
          <w:lang w:val="fr-FR"/>
        </w:rPr>
        <mc:AlternateContent>
          <mc:Choice Requires="wps">
            <w:drawing>
              <wp:anchor distT="0" distB="0" distL="114300" distR="114300" simplePos="0" relativeHeight="251663360" behindDoc="0" locked="0" layoutInCell="1" allowOverlap="1" wp14:anchorId="44BE9E33" wp14:editId="3273EA3F">
                <wp:simplePos x="0" y="0"/>
                <wp:positionH relativeFrom="column">
                  <wp:posOffset>515126</wp:posOffset>
                </wp:positionH>
                <wp:positionV relativeFrom="paragraph">
                  <wp:posOffset>448310</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4">
                            <a:lumMod val="60000"/>
                            <a:lumOff val="40000"/>
                          </a:schemeClr>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CBEC39" id="Rectangle 63" o:spid="_x0000_s1026" style="position:absolute;margin-left:40.55pt;margin-top:35.3pt;width:46.2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mc:Fallback>
        </mc:AlternateConten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SUMMARY SHEETS : ARTICLE </w:t>
      </w:r>
      <w:r w:rsidR="00334A12">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10</w:t>
      </w:r>
      <w:r w:rsidR="000C338A"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ECHFR </w:t>
      </w:r>
    </w:p>
    <w:p w14:paraId="6EB7AACF" w14:textId="173C1CD3" w:rsidR="009F095C" w:rsidRPr="000C338A" w:rsidRDefault="000C338A" w:rsidP="000C338A">
      <w:pPr>
        <w:rPr>
          <w:rFonts w:ascii="Calibri" w:eastAsiaTheme="majorEastAsia" w:hAnsi="Calibri" w:cs="Calibri"/>
          <w:spacing w:val="-10"/>
          <w:kern w:val="28"/>
          <w:sz w:val="56"/>
          <w:szCs w:val="56"/>
        </w:rPr>
      </w:pPr>
      <w:r w:rsidRPr="00BA7FF3">
        <w:rPr>
          <w:b/>
          <w:i/>
          <w:noProof/>
        </w:rPr>
        <mc:AlternateContent>
          <mc:Choice Requires="wps">
            <w:drawing>
              <wp:anchor distT="45720" distB="45720" distL="114300" distR="114300" simplePos="0" relativeHeight="251661312" behindDoc="0" locked="0" layoutInCell="1" allowOverlap="1" wp14:anchorId="27736D77" wp14:editId="3A21B62F">
                <wp:simplePos x="0" y="0"/>
                <wp:positionH relativeFrom="margin">
                  <wp:align>left</wp:align>
                </wp:positionH>
                <wp:positionV relativeFrom="paragraph">
                  <wp:posOffset>578485</wp:posOffset>
                </wp:positionV>
                <wp:extent cx="5381625" cy="1404620"/>
                <wp:effectExtent l="0" t="0" r="28575" b="209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ound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665BA575" w14:textId="2F612140" w:rsidR="00334A12" w:rsidRPr="00334A12" w:rsidRDefault="009F095C" w:rsidP="00334A12">
                            <w:pPr>
                              <w:rPr>
                                <w:rFonts w:asciiTheme="majorHAnsi" w:hAnsiTheme="majorHAnsi" w:cstheme="majorHAnsi"/>
                                <w:b/>
                                <w:bCs/>
                                <w:i/>
                              </w:rPr>
                            </w:pPr>
                            <w:r w:rsidRPr="00334A12">
                              <w:rPr>
                                <w:b/>
                                <w:i/>
                              </w:rPr>
                              <w:t>“</w:t>
                            </w:r>
                            <w:r w:rsidR="00334A12" w:rsidRPr="00334A12">
                              <w:rPr>
                                <w:rFonts w:asciiTheme="majorHAnsi" w:hAnsiTheme="majorHAnsi" w:cstheme="majorHAnsi"/>
                                <w:b/>
                                <w:bCs/>
                                <w:i/>
                              </w:rPr>
                              <w:t xml:space="preserve">Freedom of thought, conscience and </w:t>
                            </w:r>
                            <w:r w:rsidR="00265CD7">
                              <w:rPr>
                                <w:rFonts w:asciiTheme="majorHAnsi" w:hAnsiTheme="majorHAnsi" w:cstheme="majorHAnsi"/>
                                <w:b/>
                                <w:bCs/>
                                <w:i/>
                              </w:rPr>
                              <w:t>religion</w:t>
                            </w:r>
                          </w:p>
                          <w:p w14:paraId="64E75DE8" w14:textId="77777777" w:rsidR="00334A12" w:rsidRPr="00AB6C7C" w:rsidRDefault="00334A12" w:rsidP="00334A12">
                            <w:pPr>
                              <w:rPr>
                                <w:rFonts w:asciiTheme="majorHAnsi" w:hAnsiTheme="majorHAnsi" w:cstheme="majorHAnsi"/>
                                <w:b/>
                                <w:bCs/>
                                <w:i/>
                                <w:iCs/>
                              </w:rPr>
                            </w:pPr>
                          </w:p>
                          <w:p w14:paraId="0B076372" w14:textId="357EBA6C" w:rsidR="00334A12" w:rsidRPr="00334A12" w:rsidRDefault="00334A12" w:rsidP="00334A12">
                            <w:pPr>
                              <w:pStyle w:val="Paragraphedeliste"/>
                              <w:numPr>
                                <w:ilvl w:val="0"/>
                                <w:numId w:val="17"/>
                              </w:numPr>
                              <w:jc w:val="both"/>
                              <w:rPr>
                                <w:rFonts w:asciiTheme="majorHAnsi" w:hAnsiTheme="majorHAnsi" w:cstheme="majorHAnsi"/>
                                <w:i/>
                                <w:iCs/>
                              </w:rPr>
                            </w:pPr>
                            <w:r w:rsidRPr="00334A12">
                              <w:rPr>
                                <w:rFonts w:asciiTheme="majorHAnsi" w:hAnsiTheme="majorHAnsi" w:cstheme="majorHAnsi"/>
                                <w:i/>
                                <w:iCs/>
                              </w:rPr>
                              <w:t>Everyone has the right to freedom of thought, conscience and religion. This right includes freedom to change religion or belief and freedom, either alone or in community with others and in public or in private, to manifest religion or belief, in worship, teaching, practice and observance.</w:t>
                            </w:r>
                          </w:p>
                          <w:p w14:paraId="3FB6F007" w14:textId="43CF83FD" w:rsidR="009F095C" w:rsidRPr="00334A12" w:rsidRDefault="00334A12" w:rsidP="00334A12">
                            <w:pPr>
                              <w:pStyle w:val="Paragraphedeliste"/>
                              <w:numPr>
                                <w:ilvl w:val="0"/>
                                <w:numId w:val="17"/>
                              </w:numPr>
                              <w:jc w:val="both"/>
                              <w:rPr>
                                <w:rFonts w:asciiTheme="majorHAnsi" w:hAnsiTheme="majorHAnsi" w:cstheme="majorHAnsi"/>
                                <w:i/>
                                <w:iCs/>
                              </w:rPr>
                            </w:pPr>
                            <w:r w:rsidRPr="00334A12">
                              <w:rPr>
                                <w:rFonts w:asciiTheme="majorHAnsi" w:hAnsiTheme="majorHAnsi" w:cstheme="majorHAnsi"/>
                                <w:i/>
                                <w:iCs/>
                              </w:rPr>
                              <w:t>The right to conscientious objection is recognised, in accordance with the national laws governing the exercise of this right.”</w:t>
                            </w:r>
                          </w:p>
                          <w:p w14:paraId="7C427DAF" w14:textId="77777777" w:rsidR="009F095C" w:rsidRPr="00BA7FF3" w:rsidRDefault="009F095C" w:rsidP="009F09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27736D77" id="Zone de texte 2" o:spid="_x0000_s1026" style="position:absolute;margin-left:0;margin-top:45.55pt;width:423.7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" fillcolor="#d9e2f3 [660]" strokecolor="#d9e2f3 [660]">
                <v:stroke joinstyle="miter"/>
                <v:textbox style="mso-fit-shape-to-text:t">
                  <w:txbxContent>
                    <w:p w14:paraId="665BA575" w14:textId="2F612140" w:rsidR="00334A12" w:rsidRPr="00334A12" w:rsidRDefault="009F095C" w:rsidP="00334A12">
                      <w:pPr>
                        <w:rPr>
                          <w:rFonts w:asciiTheme="majorHAnsi" w:hAnsiTheme="majorHAnsi" w:cstheme="majorHAnsi"/>
                          <w:b/>
                          <w:bCs/>
                          <w:i/>
                        </w:rPr>
                      </w:pPr>
                      <w:r w:rsidRPr="00334A12">
                        <w:rPr>
                          <w:b/>
                          <w:i/>
                        </w:rPr>
                        <w:t>“</w:t>
                      </w:r>
                      <w:r w:rsidR="00334A12" w:rsidRPr="00334A12">
                        <w:rPr>
                          <w:rFonts w:asciiTheme="majorHAnsi" w:hAnsiTheme="majorHAnsi" w:cstheme="majorHAnsi"/>
                          <w:b/>
                          <w:bCs/>
                          <w:i/>
                        </w:rPr>
                        <w:t xml:space="preserve">Freedom of thought, conscience and </w:t>
                      </w:r>
                      <w:r w:rsidR="00265CD7">
                        <w:rPr>
                          <w:rFonts w:asciiTheme="majorHAnsi" w:hAnsiTheme="majorHAnsi" w:cstheme="majorHAnsi"/>
                          <w:b/>
                          <w:bCs/>
                          <w:i/>
                        </w:rPr>
                        <w:t>religion</w:t>
                      </w:r>
                    </w:p>
                    <w:p w14:paraId="64E75DE8" w14:textId="77777777" w:rsidR="00334A12" w:rsidRPr="00AB6C7C" w:rsidRDefault="00334A12" w:rsidP="00334A12">
                      <w:pPr>
                        <w:rPr>
                          <w:rFonts w:asciiTheme="majorHAnsi" w:hAnsiTheme="majorHAnsi" w:cstheme="majorHAnsi"/>
                          <w:b/>
                          <w:bCs/>
                          <w:i/>
                          <w:iCs/>
                        </w:rPr>
                      </w:pPr>
                    </w:p>
                    <w:p w14:paraId="0B076372" w14:textId="357EBA6C" w:rsidR="00334A12" w:rsidRPr="00334A12" w:rsidRDefault="00334A12" w:rsidP="00334A12">
                      <w:pPr>
                        <w:pStyle w:val="Paragraphedeliste"/>
                        <w:numPr>
                          <w:ilvl w:val="0"/>
                          <w:numId w:val="17"/>
                        </w:numPr>
                        <w:jc w:val="both"/>
                        <w:rPr>
                          <w:rFonts w:asciiTheme="majorHAnsi" w:hAnsiTheme="majorHAnsi" w:cstheme="majorHAnsi"/>
                          <w:i/>
                          <w:iCs/>
                        </w:rPr>
                      </w:pPr>
                      <w:r w:rsidRPr="00334A12">
                        <w:rPr>
                          <w:rFonts w:asciiTheme="majorHAnsi" w:hAnsiTheme="majorHAnsi" w:cstheme="majorHAnsi"/>
                          <w:i/>
                          <w:iCs/>
                        </w:rPr>
                        <w:t>Everyone has the right to freedom of thought, conscience and religion. This right includes freedom to change religion or belief and freedom, either alone or in community with others and in public or in private, to manifest religion or belief, in worship, teaching, practice and observance.</w:t>
                      </w:r>
                    </w:p>
                    <w:p w14:paraId="3FB6F007" w14:textId="43CF83FD" w:rsidR="009F095C" w:rsidRPr="00334A12" w:rsidRDefault="00334A12" w:rsidP="00334A12">
                      <w:pPr>
                        <w:pStyle w:val="Paragraphedeliste"/>
                        <w:numPr>
                          <w:ilvl w:val="0"/>
                          <w:numId w:val="17"/>
                        </w:numPr>
                        <w:jc w:val="both"/>
                        <w:rPr>
                          <w:rFonts w:asciiTheme="majorHAnsi" w:hAnsiTheme="majorHAnsi" w:cstheme="majorHAnsi"/>
                          <w:i/>
                          <w:iCs/>
                        </w:rPr>
                      </w:pPr>
                      <w:r w:rsidRPr="00334A12">
                        <w:rPr>
                          <w:rFonts w:asciiTheme="majorHAnsi" w:hAnsiTheme="majorHAnsi" w:cstheme="majorHAnsi"/>
                          <w:i/>
                          <w:iCs/>
                        </w:rPr>
                        <w:t>The right to conscientious objection is recognised, in accordance with the national laws governing the exercise of this right.”</w:t>
                      </w:r>
                    </w:p>
                    <w:p w14:paraId="7C427DAF" w14:textId="77777777" w:rsidR="009F095C" w:rsidRPr="00BA7FF3" w:rsidRDefault="009F095C" w:rsidP="009F095C"/>
                  </w:txbxContent>
                </v:textbox>
                <w10:wrap type="square" anchorx="margin"/>
              </v:roundrect>
            </w:pict>
          </mc:Fallback>
        </mc:AlternateContent>
      </w:r>
    </w:p>
    <w:tbl>
      <w:tblPr>
        <w:tblStyle w:val="Grilledutableau"/>
        <w:tblW w:w="0" w:type="auto"/>
        <w:tblLook w:val="04A0" w:firstRow="1" w:lastRow="0" w:firstColumn="1" w:lastColumn="0" w:noHBand="0" w:noVBand="1"/>
      </w:tblPr>
      <w:tblGrid>
        <w:gridCol w:w="8494"/>
      </w:tblGrid>
      <w:tr w:rsidR="00CA5340" w:rsidRPr="008E2D64" w14:paraId="6AD94D0E" w14:textId="77777777" w:rsidTr="00CA5340">
        <w:tc>
          <w:tcPr>
            <w:tcW w:w="8494" w:type="dxa"/>
          </w:tcPr>
          <w:p w14:paraId="7E53AB23" w14:textId="00D55ABB" w:rsidR="00CA5340" w:rsidRPr="009F095C" w:rsidRDefault="00CA5340">
            <w:pPr>
              <w:rPr>
                <w:rFonts w:ascii="Calibri" w:hAnsi="Calibri" w:cs="Calibri"/>
                <w:b/>
                <w:bCs/>
                <w:sz w:val="28"/>
                <w:szCs w:val="28"/>
                <w:lang w:val="en-US"/>
              </w:rPr>
            </w:pPr>
            <w:r w:rsidRPr="009F095C">
              <w:rPr>
                <w:b/>
                <w:bCs/>
                <w:color w:val="0070C0"/>
                <w:sz w:val="28"/>
                <w:szCs w:val="28"/>
                <w:lang w:val="en-US"/>
              </w:rPr>
              <w:t xml:space="preserve">Content and scope of the article </w:t>
            </w:r>
          </w:p>
        </w:tc>
      </w:tr>
      <w:tr w:rsidR="00593085" w:rsidRPr="008E2D64" w14:paraId="7247B80F" w14:textId="77777777" w:rsidTr="00CA5340">
        <w:tc>
          <w:tcPr>
            <w:tcW w:w="8494" w:type="dxa"/>
          </w:tcPr>
          <w:p w14:paraId="54824151" w14:textId="77777777" w:rsidR="00593085" w:rsidRPr="00AB6C7C" w:rsidRDefault="00593085" w:rsidP="00593085">
            <w:pPr>
              <w:jc w:val="both"/>
              <w:rPr>
                <w:rFonts w:asciiTheme="majorHAnsi" w:hAnsiTheme="majorHAnsi" w:cstheme="majorHAnsi"/>
              </w:rPr>
            </w:pPr>
          </w:p>
          <w:p w14:paraId="2410928D" w14:textId="77777777" w:rsidR="00593085" w:rsidRPr="00AB6C7C" w:rsidRDefault="00593085" w:rsidP="00593085">
            <w:pPr>
              <w:jc w:val="both"/>
              <w:rPr>
                <w:rFonts w:asciiTheme="majorHAnsi" w:hAnsiTheme="majorHAnsi" w:cstheme="majorHAnsi"/>
                <w:color w:val="2F5496" w:themeColor="accent1" w:themeShade="BF"/>
              </w:rPr>
            </w:pPr>
            <w:r w:rsidRPr="00AB6C7C">
              <w:rPr>
                <w:rFonts w:asciiTheme="majorHAnsi" w:hAnsiTheme="majorHAnsi" w:cstheme="majorHAnsi"/>
                <w:b/>
                <w:bCs/>
              </w:rPr>
              <w:t>General</w:t>
            </w:r>
            <w:r w:rsidRPr="00AB6C7C">
              <w:rPr>
                <w:rFonts w:asciiTheme="majorHAnsi" w:hAnsiTheme="majorHAnsi" w:cstheme="majorHAnsi"/>
              </w:rPr>
              <w:t>:</w:t>
            </w:r>
          </w:p>
          <w:p w14:paraId="2AD2E1B2" w14:textId="77777777" w:rsidR="00593085" w:rsidRPr="00AB6C7C" w:rsidRDefault="00593085" w:rsidP="00593085">
            <w:pPr>
              <w:jc w:val="both"/>
              <w:rPr>
                <w:rFonts w:asciiTheme="majorHAnsi" w:hAnsiTheme="majorHAnsi" w:cstheme="majorHAnsi"/>
              </w:rPr>
            </w:pPr>
            <w:r w:rsidRPr="00AB6C7C">
              <w:rPr>
                <w:rFonts w:asciiTheme="majorHAnsi" w:hAnsiTheme="majorHAnsi" w:cstheme="majorHAnsi"/>
              </w:rPr>
              <w:t xml:space="preserve">The EU legislature referred to the constitutional traditions common to the Member States as general principles of EU law. Among the rights emerging from these common traditions and reaffirmed in the Charter of Fundamental Rights of the European Union, is the right to freedom of conscience and religion enshrined in Article 10(1) of the Charter. This right includes freedom to change religion or belief and freedom, either alone or in community with others and in public or in private, to manifest religion or belief, in worship, teaching, practice and observance. </w:t>
            </w:r>
            <w:r w:rsidRPr="00AB6C7C">
              <w:rPr>
                <w:rFonts w:asciiTheme="majorHAnsi" w:hAnsiTheme="majorHAnsi" w:cstheme="majorHAnsi"/>
                <w:b/>
                <w:bCs/>
              </w:rPr>
              <w:t>The Charter uses the term “religion” broadly, encompassing individuals freedom  to manifest their religion</w:t>
            </w:r>
            <w:r w:rsidRPr="00AB6C7C">
              <w:rPr>
                <w:rFonts w:asciiTheme="majorHAnsi" w:hAnsiTheme="majorHAnsi" w:cstheme="majorHAnsi"/>
              </w:rPr>
              <w:t xml:space="preserve">. </w:t>
            </w:r>
          </w:p>
          <w:p w14:paraId="77294586" w14:textId="77777777" w:rsidR="00593085" w:rsidRPr="00AB6C7C" w:rsidRDefault="00593085" w:rsidP="00593085">
            <w:pPr>
              <w:jc w:val="both"/>
              <w:rPr>
                <w:rFonts w:asciiTheme="majorHAnsi" w:hAnsiTheme="majorHAnsi" w:cstheme="majorHAnsi"/>
              </w:rPr>
            </w:pPr>
          </w:p>
          <w:p w14:paraId="055D1A0C" w14:textId="77777777" w:rsidR="00593085" w:rsidRPr="00AB6C7C" w:rsidRDefault="00593085" w:rsidP="00593085">
            <w:pPr>
              <w:jc w:val="both"/>
              <w:rPr>
                <w:rFonts w:asciiTheme="majorHAnsi" w:hAnsiTheme="majorHAnsi" w:cstheme="majorHAnsi"/>
              </w:rPr>
            </w:pPr>
            <w:r w:rsidRPr="00AB6C7C">
              <w:rPr>
                <w:rFonts w:asciiTheme="majorHAnsi" w:hAnsiTheme="majorHAnsi" w:cstheme="majorHAnsi"/>
              </w:rPr>
              <w:t xml:space="preserve">It can be assumed that the EU legislature  intended to take the same approach when adopting </w:t>
            </w:r>
            <w:r w:rsidRPr="00AB6C7C">
              <w:rPr>
                <w:rFonts w:asciiTheme="majorHAnsi" w:hAnsiTheme="majorHAnsi" w:cstheme="majorHAnsi"/>
                <w:color w:val="002060"/>
              </w:rPr>
              <w:t xml:space="preserve">Directive 2000/78. </w:t>
            </w:r>
            <w:r w:rsidRPr="00AB6C7C">
              <w:rPr>
                <w:rFonts w:asciiTheme="majorHAnsi" w:hAnsiTheme="majorHAnsi" w:cstheme="majorHAnsi"/>
              </w:rPr>
              <w:t>Consequently,  the term  “religion” in Article 1 of the Directive should be interpreted as covering both the </w:t>
            </w:r>
            <w:r w:rsidRPr="00AB6C7C">
              <w:rPr>
                <w:rFonts w:asciiTheme="majorHAnsi" w:hAnsiTheme="majorHAnsi" w:cstheme="majorHAnsi"/>
                <w:i/>
                <w:iCs/>
              </w:rPr>
              <w:t>forum internum</w:t>
            </w:r>
            <w:r w:rsidRPr="00AB6C7C">
              <w:rPr>
                <w:rFonts w:asciiTheme="majorHAnsi" w:hAnsiTheme="majorHAnsi" w:cstheme="majorHAnsi"/>
              </w:rPr>
              <w:t xml:space="preserve"> – the internal aspect of belief - that and the </w:t>
            </w:r>
            <w:r w:rsidRPr="00AB6C7C">
              <w:rPr>
                <w:rFonts w:asciiTheme="majorHAnsi" w:hAnsiTheme="majorHAnsi" w:cstheme="majorHAnsi"/>
                <w:i/>
                <w:iCs/>
              </w:rPr>
              <w:t xml:space="preserve">forum externum </w:t>
            </w:r>
            <w:r w:rsidRPr="00AB6C7C">
              <w:rPr>
                <w:rFonts w:asciiTheme="majorHAnsi" w:hAnsiTheme="majorHAnsi" w:cstheme="majorHAnsi"/>
              </w:rPr>
              <w:t>– the external</w:t>
            </w:r>
            <w:r w:rsidRPr="00AB6C7C">
              <w:rPr>
                <w:rFonts w:asciiTheme="majorHAnsi" w:hAnsiTheme="majorHAnsi" w:cstheme="majorHAnsi"/>
                <w:i/>
                <w:iCs/>
              </w:rPr>
              <w:t xml:space="preserve"> </w:t>
            </w:r>
            <w:r w:rsidRPr="00AB6C7C">
              <w:rPr>
                <w:rFonts w:asciiTheme="majorHAnsi" w:hAnsiTheme="majorHAnsi" w:cstheme="majorHAnsi"/>
              </w:rPr>
              <w:t>manifestation of religious faith in public.</w:t>
            </w:r>
          </w:p>
          <w:p w14:paraId="5FBCF548" w14:textId="77777777" w:rsidR="00593085" w:rsidRPr="00AB6C7C" w:rsidRDefault="00593085" w:rsidP="00593085">
            <w:pPr>
              <w:jc w:val="both"/>
              <w:rPr>
                <w:rFonts w:asciiTheme="majorHAnsi" w:hAnsiTheme="majorHAnsi" w:cstheme="majorHAnsi"/>
                <w:color w:val="333333"/>
                <w:sz w:val="27"/>
                <w:szCs w:val="27"/>
                <w:shd w:val="clear" w:color="auto" w:fill="FFFFFF"/>
              </w:rPr>
            </w:pPr>
          </w:p>
          <w:p w14:paraId="6F1AAA76" w14:textId="77777777" w:rsidR="00593085" w:rsidRPr="00AB6C7C" w:rsidRDefault="00593085" w:rsidP="00593085">
            <w:pPr>
              <w:jc w:val="both"/>
              <w:rPr>
                <w:rFonts w:asciiTheme="majorHAnsi" w:hAnsiTheme="majorHAnsi" w:cstheme="majorHAnsi"/>
              </w:rPr>
            </w:pPr>
            <w:r w:rsidRPr="00AB6C7C">
              <w:rPr>
                <w:rFonts w:asciiTheme="majorHAnsi" w:hAnsiTheme="majorHAnsi" w:cstheme="majorHAnsi"/>
                <w:b/>
                <w:bCs/>
              </w:rPr>
              <w:t>Freedom of religion is a fundamental right and the cornerstone of a democratic society.</w:t>
            </w:r>
            <w:r w:rsidRPr="00AB6C7C">
              <w:rPr>
                <w:rFonts w:asciiTheme="majorHAnsi" w:hAnsiTheme="majorHAnsi" w:cstheme="majorHAnsi"/>
              </w:rPr>
              <w:t xml:space="preserve"> Interference with this right may be so serious that it warrants the same legal protections  as the cases referred to in Article 15(2) of the ECHR. The right guaranteed in Article 10(1) of the Charter corresponds to the right guaranteed in Article 9 of the ECHR and, in accordance with Article 52(3) of the Charter, has the same meaning and scope.</w:t>
            </w:r>
          </w:p>
          <w:p w14:paraId="6D0A72DE" w14:textId="77777777" w:rsidR="00593085" w:rsidRPr="00AB6C7C" w:rsidRDefault="00593085" w:rsidP="00593085">
            <w:pPr>
              <w:jc w:val="both"/>
              <w:rPr>
                <w:rFonts w:asciiTheme="majorHAnsi" w:hAnsiTheme="majorHAnsi" w:cstheme="majorHAnsi"/>
              </w:rPr>
            </w:pPr>
          </w:p>
          <w:p w14:paraId="44E58E2F" w14:textId="77777777" w:rsidR="00593085" w:rsidRPr="00AB6C7C" w:rsidRDefault="00593085" w:rsidP="00593085">
            <w:pPr>
              <w:jc w:val="both"/>
              <w:rPr>
                <w:rFonts w:asciiTheme="majorHAnsi" w:hAnsiTheme="majorHAnsi" w:cstheme="majorHAnsi"/>
              </w:rPr>
            </w:pPr>
            <w:r w:rsidRPr="00AB6C7C">
              <w:rPr>
                <w:rFonts w:asciiTheme="majorHAnsi" w:hAnsiTheme="majorHAnsi" w:cstheme="majorHAnsi"/>
                <w:lang w:val="en" w:eastAsia="fr-FR"/>
              </w:rPr>
              <w:t xml:space="preserve">Matters involving  freedom of thought and religion fall largely beyond the Union's field of competence, with few exceptions, notably in the area of labour relations.  </w:t>
            </w:r>
            <w:r w:rsidRPr="00AB6C7C">
              <w:rPr>
                <w:rFonts w:asciiTheme="majorHAnsi" w:hAnsiTheme="majorHAnsi" w:cstheme="majorHAnsi"/>
                <w:color w:val="002060"/>
                <w:lang w:val="en" w:eastAsia="fr-FR"/>
              </w:rPr>
              <w:t>Directive</w:t>
            </w:r>
            <w:r w:rsidRPr="00AB6C7C">
              <w:rPr>
                <w:rFonts w:asciiTheme="majorHAnsi" w:hAnsiTheme="majorHAnsi" w:cstheme="majorHAnsi"/>
                <w:lang w:val="en" w:eastAsia="fr-FR"/>
              </w:rPr>
              <w:t xml:space="preserve"> </w:t>
            </w:r>
            <w:r w:rsidRPr="00AB6C7C">
              <w:rPr>
                <w:rFonts w:asciiTheme="majorHAnsi" w:hAnsiTheme="majorHAnsi" w:cstheme="majorHAnsi"/>
                <w:color w:val="002060"/>
                <w:lang w:val="en" w:eastAsia="fr-FR"/>
              </w:rPr>
              <w:t>2000/</w:t>
            </w:r>
            <w:r w:rsidRPr="00AB6C7C">
              <w:rPr>
                <w:rFonts w:asciiTheme="majorHAnsi" w:hAnsiTheme="majorHAnsi" w:cstheme="majorHAnsi"/>
                <w:color w:val="002060"/>
              </w:rPr>
              <w:t xml:space="preserve">78 </w:t>
            </w:r>
            <w:r w:rsidRPr="00AB6C7C">
              <w:rPr>
                <w:rFonts w:asciiTheme="majorHAnsi" w:hAnsiTheme="majorHAnsi" w:cstheme="majorHAnsi"/>
              </w:rPr>
              <w:t>dated 27 November 2000 establishes a general framework for equal treatment in employment and occupation.</w:t>
            </w:r>
          </w:p>
          <w:p w14:paraId="358C6B54" w14:textId="77777777" w:rsidR="00593085" w:rsidRPr="00AB6C7C" w:rsidRDefault="00593085" w:rsidP="00593085">
            <w:pPr>
              <w:jc w:val="both"/>
              <w:rPr>
                <w:rFonts w:asciiTheme="majorHAnsi" w:hAnsiTheme="majorHAnsi" w:cstheme="majorHAnsi"/>
                <w:lang w:eastAsia="fr-FR"/>
              </w:rPr>
            </w:pPr>
            <w:r w:rsidRPr="00AB6C7C">
              <w:rPr>
                <w:rFonts w:asciiTheme="majorHAnsi" w:hAnsiTheme="majorHAnsi" w:cstheme="majorHAnsi"/>
              </w:rPr>
              <w:t>T</w:t>
            </w:r>
            <w:r w:rsidRPr="00AB6C7C">
              <w:rPr>
                <w:rFonts w:asciiTheme="majorHAnsi" w:hAnsiTheme="majorHAnsi" w:cstheme="majorHAnsi"/>
                <w:lang w:val="en" w:eastAsia="fr-FR"/>
              </w:rPr>
              <w:t>he provision should  also be used with Article 21 which prohibits discrimination, particularly on religious grounds.</w:t>
            </w:r>
          </w:p>
          <w:p w14:paraId="66FE4F94" w14:textId="77777777" w:rsidR="00593085" w:rsidRPr="00AB6C7C" w:rsidRDefault="00593085" w:rsidP="00593085">
            <w:pPr>
              <w:rPr>
                <w:rFonts w:asciiTheme="majorHAnsi" w:hAnsiTheme="majorHAnsi" w:cstheme="majorHAnsi"/>
                <w:lang w:eastAsia="fr-FR"/>
              </w:rPr>
            </w:pPr>
          </w:p>
          <w:p w14:paraId="453FC758" w14:textId="77777777" w:rsidR="00593085" w:rsidRPr="008A16AC" w:rsidRDefault="00593085" w:rsidP="00593085">
            <w:pPr>
              <w:jc w:val="both"/>
              <w:rPr>
                <w:rFonts w:asciiTheme="majorHAnsi" w:hAnsiTheme="majorHAnsi" w:cstheme="majorHAnsi"/>
              </w:rPr>
            </w:pPr>
            <w:r w:rsidRPr="00AB6C7C">
              <w:rPr>
                <w:rFonts w:asciiTheme="majorHAnsi" w:hAnsiTheme="majorHAnsi" w:cstheme="majorHAnsi"/>
              </w:rPr>
              <w:lastRenderedPageBreak/>
              <w:t xml:space="preserve">On the one hand, </w:t>
            </w:r>
            <w:r w:rsidRPr="008A16AC">
              <w:rPr>
                <w:rFonts w:asciiTheme="majorHAnsi" w:hAnsiTheme="majorHAnsi" w:cstheme="majorHAnsi"/>
              </w:rPr>
              <w:t xml:space="preserve">any internal rule implemented by an employer that prohibits only the wearing of conspicuous, large-scale signs of philosophical or religious beliefs in the workplace may constitute direct discrimination on the grounds of religion or belief within the meaning of Article 2(2)(a) of </w:t>
            </w:r>
            <w:r w:rsidRPr="008A16AC">
              <w:rPr>
                <w:rFonts w:asciiTheme="majorHAnsi" w:hAnsiTheme="majorHAnsi" w:cstheme="majorHAnsi"/>
                <w:color w:val="002060"/>
              </w:rPr>
              <w:t xml:space="preserve">Directive 2000/78 </w:t>
            </w:r>
            <w:r w:rsidRPr="008A16AC">
              <w:rPr>
                <w:rFonts w:asciiTheme="majorHAnsi" w:hAnsiTheme="majorHAnsi" w:cstheme="majorHAnsi"/>
              </w:rPr>
              <w:t xml:space="preserve">where that criterion is inextricably linked to one or more specific religions or beliefs. </w:t>
            </w:r>
          </w:p>
          <w:p w14:paraId="3ACF47FF" w14:textId="77777777" w:rsidR="00593085" w:rsidRPr="008A16AC" w:rsidRDefault="00593085" w:rsidP="00593085">
            <w:pPr>
              <w:jc w:val="both"/>
              <w:rPr>
                <w:rFonts w:asciiTheme="majorHAnsi" w:hAnsiTheme="majorHAnsi" w:cstheme="majorHAnsi"/>
              </w:rPr>
            </w:pPr>
            <w:r w:rsidRPr="008A16AC">
              <w:rPr>
                <w:rFonts w:asciiTheme="majorHAnsi" w:hAnsiTheme="majorHAnsi" w:cstheme="majorHAnsi"/>
              </w:rPr>
              <w:t xml:space="preserve">On the other hand, an internal rule that prohibits the wearing of any visible sign of beliefs, whether philosophical or religious does not constitute  direct discrimination. This is because it applies uniformly to all employees, requiring them, in a general and undifferentiated way, to dress neutrally, which precludes the wearing of such signs. </w:t>
            </w:r>
          </w:p>
          <w:p w14:paraId="3D09D0FC" w14:textId="77777777" w:rsidR="00593085" w:rsidRPr="00AB6C7C" w:rsidRDefault="00593085" w:rsidP="00593085">
            <w:pPr>
              <w:jc w:val="both"/>
              <w:rPr>
                <w:rFonts w:asciiTheme="majorHAnsi" w:hAnsiTheme="majorHAnsi" w:cstheme="majorHAnsi"/>
              </w:rPr>
            </w:pPr>
            <w:r w:rsidRPr="00AB6C7C">
              <w:rPr>
                <w:rFonts w:asciiTheme="majorHAnsi" w:hAnsiTheme="majorHAnsi" w:cstheme="majorHAnsi"/>
              </w:rPr>
              <w:t xml:space="preserve">Indeed, since everyone may hold a religious, philosophical or spiritual belief, such a rule, if applied generally and without differentiation, does not create a distinction  in based on a criterion that is inextricably linked to religion or belief. </w:t>
            </w:r>
          </w:p>
          <w:p w14:paraId="3CA33B19" w14:textId="77777777" w:rsidR="00593085" w:rsidRPr="00AB6C7C" w:rsidRDefault="00593085" w:rsidP="00593085">
            <w:pPr>
              <w:rPr>
                <w:rFonts w:asciiTheme="majorHAnsi" w:hAnsiTheme="majorHAnsi" w:cstheme="majorHAnsi"/>
              </w:rPr>
            </w:pPr>
          </w:p>
          <w:p w14:paraId="5D1F08F8" w14:textId="77777777" w:rsidR="00593085" w:rsidRPr="00AB6C7C" w:rsidRDefault="00593085" w:rsidP="00593085">
            <w:pPr>
              <w:jc w:val="both"/>
              <w:rPr>
                <w:rFonts w:asciiTheme="majorHAnsi" w:hAnsiTheme="majorHAnsi" w:cstheme="majorHAnsi"/>
              </w:rPr>
            </w:pPr>
            <w:r w:rsidRPr="00AB6C7C">
              <w:rPr>
                <w:rFonts w:asciiTheme="majorHAnsi" w:hAnsiTheme="majorHAnsi" w:cstheme="majorHAnsi"/>
              </w:rPr>
              <w:t xml:space="preserve">According to the Court’s settled case-law, however, </w:t>
            </w:r>
            <w:r>
              <w:rPr>
                <w:rFonts w:asciiTheme="majorHAnsi" w:hAnsiTheme="majorHAnsi" w:cstheme="majorHAnsi"/>
              </w:rPr>
              <w:t xml:space="preserve"> </w:t>
            </w:r>
            <w:r w:rsidRPr="00AB6C7C">
              <w:rPr>
                <w:rFonts w:asciiTheme="majorHAnsi" w:hAnsiTheme="majorHAnsi" w:cstheme="majorHAnsi"/>
              </w:rPr>
              <w:t>an internal rule implemented by an employer prohibiting the visible wearing in the workplace of any symbols of belief may constitute a difference of treatment indirectly based on religion or belief, if the neutral requirement actually places individuals adhering to certain religions or beliefs at a particular disadvantage.</w:t>
            </w:r>
          </w:p>
          <w:p w14:paraId="0AA7F899" w14:textId="77777777" w:rsidR="00593085" w:rsidRPr="00AB6C7C" w:rsidRDefault="00593085" w:rsidP="00593085">
            <w:pPr>
              <w:jc w:val="both"/>
              <w:rPr>
                <w:rFonts w:asciiTheme="majorHAnsi" w:hAnsiTheme="majorHAnsi" w:cstheme="majorHAnsi"/>
              </w:rPr>
            </w:pPr>
            <w:r w:rsidRPr="00AB6C7C">
              <w:rPr>
                <w:rFonts w:asciiTheme="majorHAnsi" w:hAnsiTheme="majorHAnsi" w:cstheme="majorHAnsi"/>
              </w:rPr>
              <w:t xml:space="preserve">In accordance with Article 2(2)(b)(i) of </w:t>
            </w:r>
            <w:r w:rsidRPr="00AB6C7C">
              <w:rPr>
                <w:rFonts w:asciiTheme="majorHAnsi" w:hAnsiTheme="majorHAnsi" w:cstheme="majorHAnsi"/>
                <w:color w:val="002060"/>
              </w:rPr>
              <w:t>Directive 2000/78</w:t>
            </w:r>
            <w:r w:rsidRPr="00AB6C7C">
              <w:rPr>
                <w:rFonts w:asciiTheme="majorHAnsi" w:hAnsiTheme="majorHAnsi" w:cstheme="majorHAnsi"/>
              </w:rPr>
              <w:t xml:space="preserve">, such a difference in treatment does not, however, amount to indirect discrimination if it is objectively </w:t>
            </w:r>
            <w:r w:rsidRPr="00AB6C7C">
              <w:rPr>
                <w:rFonts w:asciiTheme="majorHAnsi" w:hAnsiTheme="majorHAnsi" w:cstheme="majorHAnsi"/>
                <w:b/>
                <w:bCs/>
              </w:rPr>
              <w:t>justified by a legitimate aim and if the means to achieve that aim are necessary and proportionate.</w:t>
            </w:r>
            <w:r w:rsidRPr="00AB6C7C">
              <w:rPr>
                <w:rFonts w:asciiTheme="majorHAnsi" w:hAnsiTheme="majorHAnsi" w:cstheme="majorHAnsi"/>
              </w:rPr>
              <w:t xml:space="preserve"> </w:t>
            </w:r>
          </w:p>
          <w:p w14:paraId="68F8CBA3" w14:textId="77777777" w:rsidR="00593085" w:rsidRPr="00AB6C7C" w:rsidRDefault="00593085" w:rsidP="00593085">
            <w:pPr>
              <w:jc w:val="both"/>
              <w:rPr>
                <w:rFonts w:asciiTheme="majorHAnsi" w:hAnsiTheme="majorHAnsi" w:cstheme="majorHAnsi"/>
              </w:rPr>
            </w:pPr>
          </w:p>
          <w:p w14:paraId="2BA9260D" w14:textId="77777777" w:rsidR="00593085" w:rsidRPr="00EC63FC" w:rsidRDefault="00593085" w:rsidP="00593085">
            <w:pPr>
              <w:jc w:val="both"/>
              <w:rPr>
                <w:rFonts w:asciiTheme="majorHAnsi" w:hAnsiTheme="majorHAnsi" w:cstheme="majorHAnsi"/>
              </w:rPr>
            </w:pPr>
            <w:r w:rsidRPr="00AB6C7C">
              <w:rPr>
                <w:rFonts w:asciiTheme="majorHAnsi" w:hAnsiTheme="majorHAnsi" w:cstheme="majorHAnsi"/>
              </w:rPr>
              <w:t xml:space="preserve">An employer's aspiration to project an image of neutrality towards customers is closely tied to the freedom to conduct a business, a right safeguarded under Article 16 of the Charter. This aim is generally regarded as legitimate, particularly when the neutrality rule is applied exclusively to employees who engage directly with customers. The view that pursuing such an objective may justify, within specific limits, certain restrictions on the freedom of religion finds support in the case law of the European Court of Human Rights (ECtHR) under Article 9 of the European Convention on Human Rights (ECHR). Notably, in its judgment of 15 January 2013 in </w:t>
            </w:r>
            <w:r w:rsidRPr="00AB6C7C">
              <w:rPr>
                <w:rFonts w:asciiTheme="majorHAnsi" w:hAnsiTheme="majorHAnsi" w:cstheme="majorHAnsi"/>
                <w:i/>
                <w:iCs/>
              </w:rPr>
              <w:t>Eweida and Others v. United Kingdom</w:t>
            </w:r>
            <w:r w:rsidRPr="00AB6C7C">
              <w:rPr>
                <w:rFonts w:asciiTheme="majorHAnsi" w:hAnsiTheme="majorHAnsi" w:cstheme="majorHAnsi"/>
              </w:rPr>
              <w:t xml:space="preserve"> (CE:ECHR:2013:0115JUD004842010, paragraph 94), the ECtHR acknowledged this interpretation.</w:t>
            </w:r>
          </w:p>
          <w:p w14:paraId="1325818A" w14:textId="77777777" w:rsidR="00593085" w:rsidRPr="00AB6C7C" w:rsidRDefault="00593085" w:rsidP="00593085">
            <w:pPr>
              <w:jc w:val="both"/>
              <w:rPr>
                <w:rFonts w:asciiTheme="majorHAnsi" w:hAnsiTheme="majorHAnsi" w:cstheme="majorHAnsi"/>
              </w:rPr>
            </w:pPr>
          </w:p>
          <w:p w14:paraId="20E7432E" w14:textId="77777777" w:rsidR="00593085" w:rsidRPr="00AB6C7C" w:rsidRDefault="00593085" w:rsidP="00593085">
            <w:pPr>
              <w:rPr>
                <w:rFonts w:asciiTheme="majorHAnsi" w:hAnsiTheme="majorHAnsi" w:cstheme="majorHAnsi"/>
                <w:b/>
                <w:bCs/>
                <w:lang w:val="en-US"/>
              </w:rPr>
            </w:pPr>
            <w:r w:rsidRPr="00AB6C7C">
              <w:rPr>
                <w:rFonts w:asciiTheme="majorHAnsi" w:hAnsiTheme="majorHAnsi" w:cstheme="majorHAnsi"/>
                <w:b/>
                <w:bCs/>
                <w:lang w:val="en-US"/>
              </w:rPr>
              <w:t>Example : Case law about religion and labour relation</w:t>
            </w:r>
          </w:p>
          <w:p w14:paraId="63091074" w14:textId="77777777" w:rsidR="00593085" w:rsidRPr="00AB6C7C" w:rsidRDefault="00593085" w:rsidP="00593085">
            <w:pPr>
              <w:jc w:val="both"/>
              <w:rPr>
                <w:rFonts w:asciiTheme="majorHAnsi" w:hAnsiTheme="majorHAnsi" w:cstheme="majorHAnsi"/>
                <w:lang w:val="de-DE"/>
              </w:rPr>
            </w:pPr>
            <w:r w:rsidRPr="00AB6C7C">
              <w:rPr>
                <w:rFonts w:asciiTheme="majorHAnsi" w:hAnsiTheme="majorHAnsi" w:cstheme="majorHAnsi"/>
                <w:b/>
                <w:bCs/>
                <w:lang w:val="de-DE"/>
              </w:rPr>
              <w:t xml:space="preserve">ECJ, Gd. Ch., C-804/18 and C-341/19, 25/02/2021, </w:t>
            </w:r>
            <w:r w:rsidRPr="00AB6C7C">
              <w:rPr>
                <w:rFonts w:asciiTheme="majorHAnsi" w:hAnsiTheme="majorHAnsi" w:cstheme="majorHAnsi"/>
                <w:b/>
                <w:bCs/>
                <w:i/>
                <w:iCs/>
                <w:lang w:val="de-DE" w:eastAsia="fr-FR"/>
              </w:rPr>
              <w:t>IX v WABE</w:t>
            </w:r>
            <w:r w:rsidRPr="00AB6C7C">
              <w:rPr>
                <w:rFonts w:asciiTheme="majorHAnsi" w:hAnsiTheme="majorHAnsi" w:cstheme="majorHAnsi"/>
                <w:b/>
                <w:bCs/>
                <w:lang w:val="de-DE" w:eastAsia="fr-FR"/>
              </w:rPr>
              <w:t xml:space="preserve"> and </w:t>
            </w:r>
            <w:r w:rsidRPr="00AB6C7C">
              <w:rPr>
                <w:rFonts w:asciiTheme="majorHAnsi" w:hAnsiTheme="majorHAnsi" w:cstheme="majorHAnsi"/>
                <w:b/>
                <w:bCs/>
                <w:i/>
                <w:iCs/>
                <w:lang w:val="de-DE" w:eastAsia="fr-FR"/>
              </w:rPr>
              <w:t>MH Müller Handels GmbH v MJ</w:t>
            </w:r>
          </w:p>
          <w:p w14:paraId="6DC91CB0" w14:textId="77777777" w:rsidR="00593085" w:rsidRPr="00AB6C7C" w:rsidRDefault="00593085" w:rsidP="00593085">
            <w:pPr>
              <w:shd w:val="clear" w:color="auto" w:fill="FEFEFE"/>
              <w:jc w:val="both"/>
              <w:rPr>
                <w:rFonts w:asciiTheme="majorHAnsi" w:hAnsiTheme="majorHAnsi" w:cstheme="majorHAnsi"/>
                <w:color w:val="0A0A0A"/>
                <w:shd w:val="clear" w:color="auto" w:fill="FEFEFE"/>
              </w:rPr>
            </w:pPr>
            <w:r w:rsidRPr="00AB6C7C">
              <w:rPr>
                <w:rFonts w:asciiTheme="majorHAnsi" w:hAnsiTheme="majorHAnsi" w:cstheme="majorHAnsi"/>
                <w:color w:val="0A0A0A"/>
                <w:shd w:val="clear" w:color="auto" w:fill="FEFEFE"/>
              </w:rPr>
              <w:t>These preliminary rulings concern the interpretation of the Council Directive 2000/78/EC of 27 November 2000 which establishes a general framework for equal treatment in employment and occupation, and Articles 10 and 16 of the</w:t>
            </w:r>
            <w:r>
              <w:rPr>
                <w:rFonts w:asciiTheme="majorHAnsi" w:hAnsiTheme="majorHAnsi" w:cstheme="majorHAnsi"/>
                <w:color w:val="0A0A0A"/>
                <w:shd w:val="clear" w:color="auto" w:fill="FEFEFE"/>
              </w:rPr>
              <w:t xml:space="preserve"> </w:t>
            </w:r>
            <w:r w:rsidRPr="00AB6C7C">
              <w:rPr>
                <w:rFonts w:asciiTheme="majorHAnsi" w:hAnsiTheme="majorHAnsi" w:cstheme="majorHAnsi"/>
                <w:color w:val="0A0A0A"/>
                <w:shd w:val="clear" w:color="auto" w:fill="FEFEFE"/>
              </w:rPr>
              <w:t>EChFR .</w:t>
            </w:r>
          </w:p>
          <w:p w14:paraId="575E7104" w14:textId="77777777" w:rsidR="00593085" w:rsidRPr="00AB6C7C" w:rsidRDefault="00593085" w:rsidP="00593085">
            <w:pPr>
              <w:shd w:val="clear" w:color="auto" w:fill="FEFEFE"/>
              <w:jc w:val="both"/>
              <w:rPr>
                <w:rFonts w:asciiTheme="majorHAnsi" w:eastAsia="Times New Roman" w:hAnsiTheme="majorHAnsi" w:cstheme="majorHAnsi"/>
                <w:color w:val="343D55"/>
                <w:kern w:val="0"/>
                <w:lang w:eastAsia="fr-FR"/>
                <w14:ligatures w14:val="none"/>
              </w:rPr>
            </w:pPr>
          </w:p>
          <w:p w14:paraId="5D2281A4" w14:textId="77777777" w:rsidR="00593085" w:rsidRPr="00AB6C7C" w:rsidRDefault="00593085" w:rsidP="00593085">
            <w:pPr>
              <w:jc w:val="both"/>
              <w:rPr>
                <w:rFonts w:asciiTheme="majorHAnsi" w:hAnsiTheme="majorHAnsi" w:cstheme="majorHAnsi"/>
                <w:lang w:val="en-US" w:eastAsia="fr-FR"/>
              </w:rPr>
            </w:pPr>
            <w:r w:rsidRPr="00AB6C7C">
              <w:rPr>
                <w:rFonts w:asciiTheme="majorHAnsi" w:hAnsiTheme="majorHAnsi" w:cstheme="majorHAnsi"/>
                <w:lang w:val="en-US" w:eastAsia="fr-FR"/>
              </w:rPr>
              <w:t xml:space="preserve">A prohibition on wearing any visible form of expression of political, philosophical or religious beliefs in the workplace </w:t>
            </w:r>
            <w:r w:rsidRPr="00AB6C7C">
              <w:rPr>
                <w:rFonts w:asciiTheme="majorHAnsi" w:hAnsiTheme="majorHAnsi" w:cstheme="majorHAnsi"/>
                <w:b/>
                <w:bCs/>
                <w:lang w:val="en-US" w:eastAsia="fr-FR"/>
              </w:rPr>
              <w:t>may be justified by the employer’s need to present a neutral image towards customers or to prevent social conflicts</w:t>
            </w:r>
            <w:r w:rsidRPr="00AB6C7C">
              <w:rPr>
                <w:rFonts w:asciiTheme="majorHAnsi" w:hAnsiTheme="majorHAnsi" w:cstheme="majorHAnsi"/>
                <w:lang w:val="en-US" w:eastAsia="fr-FR"/>
              </w:rPr>
              <w:t>.</w:t>
            </w:r>
          </w:p>
          <w:p w14:paraId="0FD44C98" w14:textId="77777777" w:rsidR="00593085" w:rsidRPr="00AB6C7C" w:rsidRDefault="00593085" w:rsidP="00593085">
            <w:pPr>
              <w:jc w:val="both"/>
              <w:rPr>
                <w:rFonts w:asciiTheme="majorHAnsi" w:hAnsiTheme="majorHAnsi" w:cstheme="majorHAnsi"/>
                <w:lang w:val="en-US" w:eastAsia="fr-FR"/>
              </w:rPr>
            </w:pPr>
            <w:r w:rsidRPr="00AB6C7C">
              <w:rPr>
                <w:rFonts w:asciiTheme="majorHAnsi" w:hAnsiTheme="majorHAnsi" w:cstheme="majorHAnsi"/>
                <w:lang w:val="en-US" w:eastAsia="fr-FR"/>
              </w:rPr>
              <w:t xml:space="preserve">However, this justification must reflect </w:t>
            </w:r>
            <w:r w:rsidRPr="00AB6C7C">
              <w:rPr>
                <w:rFonts w:asciiTheme="majorHAnsi" w:hAnsiTheme="majorHAnsi" w:cstheme="majorHAnsi"/>
                <w:b/>
                <w:bCs/>
                <w:lang w:val="en-US" w:eastAsia="fr-FR"/>
              </w:rPr>
              <w:t>a genuine need on the part of the employer</w:t>
            </w:r>
            <w:r w:rsidRPr="00AB6C7C">
              <w:rPr>
                <w:rFonts w:asciiTheme="majorHAnsi" w:hAnsiTheme="majorHAnsi" w:cstheme="majorHAnsi"/>
                <w:lang w:val="en-US" w:eastAsia="fr-FR"/>
              </w:rPr>
              <w:t xml:space="preserve"> and national courts may take into account the specific context of their Member State including  national provisions that provide stronger protections for freedom of religion.</w:t>
            </w:r>
          </w:p>
          <w:p w14:paraId="2D6E0F25" w14:textId="0ECFC134" w:rsidR="00593085" w:rsidRPr="00593085" w:rsidRDefault="00593085" w:rsidP="00593085">
            <w:pPr>
              <w:jc w:val="both"/>
              <w:rPr>
                <w:rFonts w:ascii="Calibri" w:hAnsi="Calibri" w:cs="Calibri"/>
                <w:lang w:val="en-US"/>
              </w:rPr>
            </w:pPr>
          </w:p>
        </w:tc>
      </w:tr>
      <w:tr w:rsidR="00593085" w:rsidRPr="008E2D64" w14:paraId="1FD718D0" w14:textId="77777777" w:rsidTr="00CA5340">
        <w:tc>
          <w:tcPr>
            <w:tcW w:w="8494" w:type="dxa"/>
          </w:tcPr>
          <w:p w14:paraId="4BB5FDD1" w14:textId="49FEFAE4" w:rsidR="00593085" w:rsidRPr="009F095C" w:rsidRDefault="00593085" w:rsidP="00593085">
            <w:pPr>
              <w:rPr>
                <w:rFonts w:ascii="Calibri" w:hAnsi="Calibri" w:cs="Calibri"/>
                <w:sz w:val="28"/>
                <w:szCs w:val="28"/>
                <w:lang w:val="en-US"/>
              </w:rPr>
            </w:pPr>
            <w:r w:rsidRPr="009F095C">
              <w:rPr>
                <w:b/>
                <w:bCs/>
                <w:color w:val="0070C0"/>
                <w:sz w:val="28"/>
                <w:szCs w:val="28"/>
                <w:lang w:val="en-US"/>
              </w:rPr>
              <w:lastRenderedPageBreak/>
              <w:t>CJEU Case Law</w:t>
            </w:r>
          </w:p>
        </w:tc>
      </w:tr>
      <w:tr w:rsidR="00593085" w:rsidRPr="008E2D64" w14:paraId="35FB37BC" w14:textId="77777777" w:rsidTr="00CA5340">
        <w:tc>
          <w:tcPr>
            <w:tcW w:w="8494" w:type="dxa"/>
          </w:tcPr>
          <w:p w14:paraId="700FE8BB" w14:textId="77777777" w:rsidR="00A63340" w:rsidRDefault="00A63340" w:rsidP="00A63340">
            <w:pPr>
              <w:pStyle w:val="NormalWeb"/>
              <w:shd w:val="clear" w:color="auto" w:fill="FEFEFE"/>
              <w:spacing w:before="0" w:beforeAutospacing="0" w:after="0" w:afterAutospacing="0"/>
              <w:ind w:left="720"/>
              <w:rPr>
                <w:rFonts w:asciiTheme="majorHAnsi" w:hAnsiTheme="majorHAnsi" w:cstheme="majorHAnsi"/>
                <w:b/>
                <w:bCs/>
                <w:color w:val="000000" w:themeColor="text1"/>
              </w:rPr>
            </w:pPr>
          </w:p>
          <w:p w14:paraId="11697F65" w14:textId="3CD5C5BE" w:rsidR="00A63340" w:rsidRPr="00EC63FC" w:rsidRDefault="00A63340" w:rsidP="00A63340">
            <w:pPr>
              <w:pStyle w:val="NormalWeb"/>
              <w:numPr>
                <w:ilvl w:val="0"/>
                <w:numId w:val="19"/>
              </w:numPr>
              <w:shd w:val="clear" w:color="auto" w:fill="FEFEFE"/>
              <w:spacing w:before="0" w:beforeAutospacing="0" w:after="0" w:afterAutospacing="0"/>
              <w:rPr>
                <w:rFonts w:asciiTheme="majorHAnsi" w:hAnsiTheme="majorHAnsi" w:cstheme="majorHAnsi"/>
                <w:b/>
                <w:bCs/>
                <w:color w:val="000000" w:themeColor="text1"/>
              </w:rPr>
            </w:pPr>
            <w:r w:rsidRPr="00EC63FC">
              <w:rPr>
                <w:rFonts w:asciiTheme="majorHAnsi" w:hAnsiTheme="majorHAnsi" w:cstheme="majorHAnsi"/>
                <w:b/>
                <w:bCs/>
                <w:color w:val="000000" w:themeColor="text1"/>
              </w:rPr>
              <w:t>ECJ’s most relevant cases in Labour law</w:t>
            </w:r>
          </w:p>
          <w:p w14:paraId="17490C5A" w14:textId="77777777" w:rsidR="00A63340" w:rsidRPr="00EC63FC" w:rsidRDefault="00A63340" w:rsidP="00A63340">
            <w:pPr>
              <w:pStyle w:val="NormalWeb"/>
              <w:shd w:val="clear" w:color="auto" w:fill="FEFEFE"/>
              <w:spacing w:before="0" w:beforeAutospacing="0" w:after="0" w:afterAutospacing="0"/>
              <w:ind w:left="720"/>
              <w:rPr>
                <w:rFonts w:asciiTheme="majorHAnsi" w:hAnsiTheme="majorHAnsi" w:cstheme="majorHAnsi"/>
                <w:b/>
                <w:bCs/>
                <w:color w:val="000000" w:themeColor="text1"/>
              </w:rPr>
            </w:pPr>
          </w:p>
          <w:p w14:paraId="686B972F" w14:textId="77777777" w:rsidR="00A63340" w:rsidRPr="00EC63FC" w:rsidRDefault="00A63340" w:rsidP="00A63340">
            <w:pPr>
              <w:pStyle w:val="NormalWeb"/>
              <w:shd w:val="clear" w:color="auto" w:fill="FEFEFE"/>
              <w:spacing w:before="0" w:beforeAutospacing="0" w:after="0" w:afterAutospacing="0"/>
              <w:rPr>
                <w:rFonts w:asciiTheme="majorHAnsi" w:hAnsiTheme="majorHAnsi" w:cstheme="majorHAnsi"/>
                <w:b/>
                <w:bCs/>
                <w:i/>
                <w:iCs/>
                <w:lang w:val="fr-FR"/>
              </w:rPr>
            </w:pPr>
            <w:r w:rsidRPr="00EC63FC">
              <w:rPr>
                <w:rFonts w:asciiTheme="majorHAnsi" w:hAnsiTheme="majorHAnsi" w:cstheme="majorHAnsi"/>
                <w:b/>
                <w:bCs/>
                <w:lang w:val="fr-FR"/>
              </w:rPr>
              <w:t xml:space="preserve">CJEU, Grd. Ch., C-148/22, 28/11/2023, </w:t>
            </w:r>
            <w:r w:rsidRPr="00EC63FC">
              <w:rPr>
                <w:rFonts w:asciiTheme="majorHAnsi" w:hAnsiTheme="majorHAnsi" w:cstheme="majorHAnsi"/>
                <w:b/>
                <w:bCs/>
                <w:i/>
                <w:iCs/>
                <w:lang w:val="fr-FR"/>
              </w:rPr>
              <w:t>OP v Commune d’Ans</w:t>
            </w:r>
          </w:p>
          <w:p w14:paraId="0293D2A6" w14:textId="77777777" w:rsidR="00A63340" w:rsidRPr="00EC63FC" w:rsidRDefault="00A63340" w:rsidP="00A63340">
            <w:pPr>
              <w:pStyle w:val="NormalWeb"/>
              <w:shd w:val="clear" w:color="auto" w:fill="FEFEFE"/>
              <w:spacing w:before="0" w:beforeAutospacing="0" w:after="0" w:afterAutospacing="0"/>
              <w:jc w:val="both"/>
              <w:rPr>
                <w:rFonts w:asciiTheme="majorHAnsi" w:hAnsiTheme="majorHAnsi" w:cstheme="majorHAnsi"/>
              </w:rPr>
            </w:pPr>
            <w:r w:rsidRPr="00EC63FC">
              <w:rPr>
                <w:rFonts w:asciiTheme="majorHAnsi" w:hAnsiTheme="majorHAnsi" w:cstheme="majorHAnsi"/>
                <w:i/>
                <w:iCs/>
              </w:rPr>
              <w:t>Keywords</w:t>
            </w:r>
            <w:r w:rsidRPr="00EC63FC">
              <w:rPr>
                <w:rFonts w:asciiTheme="majorHAnsi" w:hAnsiTheme="majorHAnsi" w:cstheme="majorHAnsi"/>
              </w:rPr>
              <w:t xml:space="preserve">: </w:t>
            </w:r>
            <w:r w:rsidRPr="00EC63FC">
              <w:rPr>
                <w:rFonts w:asciiTheme="majorHAnsi" w:hAnsiTheme="majorHAnsi" w:cstheme="majorHAnsi"/>
                <w:i/>
                <w:iCs/>
              </w:rPr>
              <w:t xml:space="preserve">public service and religious freedom - </w:t>
            </w:r>
            <w:r w:rsidRPr="00EC63FC">
              <w:rPr>
                <w:rFonts w:asciiTheme="majorHAnsi" w:hAnsiTheme="majorHAnsi" w:cstheme="majorHAnsi"/>
                <w:i/>
                <w:iCs/>
                <w:lang w:val="en-US" w:eastAsia="fr-FR"/>
              </w:rPr>
              <w:t>Islamic headscarf and workplace,</w:t>
            </w:r>
            <w:r w:rsidRPr="00EC63FC">
              <w:rPr>
                <w:rFonts w:asciiTheme="majorHAnsi" w:hAnsiTheme="majorHAnsi" w:cstheme="majorHAnsi"/>
                <w:i/>
                <w:iCs/>
              </w:rPr>
              <w:t xml:space="preserve"> neutrality of the public service and workplace - policy of exclusive neutrality and legitimate aim - Article 2(2)(b)(i) of Directive 2000/78.</w:t>
            </w:r>
            <w:r w:rsidRPr="00EC63FC">
              <w:rPr>
                <w:rFonts w:asciiTheme="majorHAnsi" w:hAnsiTheme="majorHAnsi" w:cstheme="majorHAnsi"/>
              </w:rPr>
              <w:t xml:space="preserve"> </w:t>
            </w:r>
          </w:p>
          <w:p w14:paraId="7C04E558" w14:textId="77777777" w:rsidR="00A63340" w:rsidRPr="00EC63FC" w:rsidRDefault="00A63340" w:rsidP="00A63340">
            <w:pPr>
              <w:pStyle w:val="NormalWeb"/>
              <w:shd w:val="clear" w:color="auto" w:fill="FEFEFE"/>
              <w:spacing w:before="0" w:beforeAutospacing="0" w:after="0" w:afterAutospacing="0"/>
              <w:jc w:val="both"/>
              <w:rPr>
                <w:rFonts w:asciiTheme="majorHAnsi" w:hAnsiTheme="majorHAnsi" w:cstheme="majorHAnsi"/>
              </w:rPr>
            </w:pPr>
          </w:p>
          <w:p w14:paraId="62DF6644" w14:textId="77777777" w:rsidR="00A63340" w:rsidRPr="00EC63FC" w:rsidRDefault="00A63340" w:rsidP="00A63340">
            <w:pPr>
              <w:pStyle w:val="NormalWeb"/>
              <w:shd w:val="clear" w:color="auto" w:fill="FEFEFE"/>
              <w:spacing w:before="0" w:beforeAutospacing="0" w:after="0" w:afterAutospacing="0"/>
              <w:jc w:val="both"/>
              <w:rPr>
                <w:rFonts w:asciiTheme="majorHAnsi" w:hAnsiTheme="majorHAnsi" w:cstheme="majorHAnsi"/>
                <w:b/>
                <w:bCs/>
                <w:i/>
                <w:iCs/>
                <w:lang w:val="nl-NL"/>
              </w:rPr>
            </w:pPr>
            <w:r w:rsidRPr="00EC63FC">
              <w:rPr>
                <w:rFonts w:asciiTheme="majorHAnsi" w:hAnsiTheme="majorHAnsi" w:cstheme="majorHAnsi"/>
                <w:b/>
                <w:bCs/>
                <w:lang w:val="nl-NL"/>
              </w:rPr>
              <w:t xml:space="preserve">ECJ, Grd. Ch., C-157/15, 14/03/2019, </w:t>
            </w:r>
            <w:r w:rsidRPr="00EC63FC">
              <w:rPr>
                <w:rFonts w:asciiTheme="majorHAnsi" w:hAnsiTheme="majorHAnsi" w:cstheme="majorHAnsi"/>
                <w:b/>
                <w:bCs/>
                <w:i/>
                <w:iCs/>
                <w:lang w:val="nl-NL"/>
              </w:rPr>
              <w:t>Samira Achbita, Centrum voor gelijkheid van kansen en voor racismebestrijding, V G4S Secure Solutions N</w:t>
            </w:r>
          </w:p>
          <w:p w14:paraId="2F6334DE" w14:textId="77777777" w:rsidR="00A63340" w:rsidRPr="00EC63FC" w:rsidRDefault="00A63340" w:rsidP="00A63340">
            <w:pPr>
              <w:pStyle w:val="NormalWeb"/>
              <w:shd w:val="clear" w:color="auto" w:fill="FEFEFE"/>
              <w:spacing w:before="0" w:beforeAutospacing="0" w:after="0" w:afterAutospacing="0"/>
              <w:jc w:val="both"/>
              <w:rPr>
                <w:rFonts w:asciiTheme="majorHAnsi" w:hAnsiTheme="majorHAnsi" w:cstheme="majorHAnsi"/>
                <w:b/>
                <w:bCs/>
                <w:color w:val="000000" w:themeColor="text1"/>
              </w:rPr>
            </w:pPr>
            <w:r w:rsidRPr="00EC63FC">
              <w:rPr>
                <w:rFonts w:asciiTheme="majorHAnsi" w:hAnsiTheme="majorHAnsi" w:cstheme="majorHAnsi"/>
                <w:i/>
                <w:iCs/>
              </w:rPr>
              <w:t xml:space="preserve">Keywords: prohibition of </w:t>
            </w:r>
            <w:r w:rsidRPr="00EC63FC">
              <w:rPr>
                <w:rFonts w:asciiTheme="majorHAnsi" w:hAnsiTheme="majorHAnsi" w:cstheme="majorHAnsi"/>
                <w:i/>
                <w:iCs/>
                <w:lang w:val="en-US" w:eastAsia="fr-FR"/>
              </w:rPr>
              <w:t>Islamic headscarf and workplace, direct and indirect discrimination - policy of political, philosophical and religious neutrality - aim appropriate - Article 2(2)(a) of Directive 2000/78.</w:t>
            </w:r>
          </w:p>
          <w:p w14:paraId="0BEFED49" w14:textId="77777777" w:rsidR="00A63340" w:rsidRPr="00EC63FC" w:rsidRDefault="00A63340" w:rsidP="00A63340">
            <w:pPr>
              <w:jc w:val="both"/>
              <w:rPr>
                <w:rFonts w:asciiTheme="majorHAnsi" w:hAnsiTheme="majorHAnsi" w:cstheme="majorHAnsi"/>
              </w:rPr>
            </w:pPr>
          </w:p>
          <w:p w14:paraId="0E6ECBAF" w14:textId="77777777" w:rsidR="00A63340" w:rsidRPr="00EC63FC" w:rsidRDefault="00A63340" w:rsidP="00A63340">
            <w:pPr>
              <w:rPr>
                <w:rFonts w:asciiTheme="majorHAnsi" w:hAnsiTheme="majorHAnsi" w:cstheme="majorHAnsi"/>
                <w:b/>
                <w:bCs/>
                <w:i/>
                <w:iCs/>
                <w:color w:val="000000" w:themeColor="text1"/>
              </w:rPr>
            </w:pPr>
            <w:r w:rsidRPr="00EC63FC">
              <w:rPr>
                <w:rFonts w:asciiTheme="majorHAnsi" w:hAnsiTheme="majorHAnsi" w:cstheme="majorHAnsi"/>
                <w:b/>
                <w:bCs/>
                <w:color w:val="000000" w:themeColor="text1"/>
              </w:rPr>
              <w:t>ECJ, Gd. Ch., C-68/17, 11/09/2018,</w:t>
            </w:r>
            <w:r w:rsidRPr="00EC63FC">
              <w:rPr>
                <w:rFonts w:asciiTheme="majorHAnsi" w:hAnsiTheme="majorHAnsi" w:cstheme="majorHAnsi"/>
                <w:b/>
                <w:bCs/>
                <w:i/>
                <w:iCs/>
                <w:color w:val="000000" w:themeColor="text1"/>
              </w:rPr>
              <w:t xml:space="preserve"> IR c. JQ</w:t>
            </w:r>
          </w:p>
          <w:tbl>
            <w:tblPr>
              <w:tblW w:w="5000" w:type="pct"/>
              <w:shd w:val="clear" w:color="auto" w:fill="FFFFFF"/>
              <w:tblCellMar>
                <w:left w:w="0" w:type="dxa"/>
                <w:right w:w="0" w:type="dxa"/>
              </w:tblCellMar>
              <w:tblLook w:val="04A0" w:firstRow="1" w:lastRow="0" w:firstColumn="1" w:lastColumn="0" w:noHBand="0" w:noVBand="1"/>
            </w:tblPr>
            <w:tblGrid>
              <w:gridCol w:w="8278"/>
            </w:tblGrid>
            <w:tr w:rsidR="00A63340" w:rsidRPr="00EC63FC" w14:paraId="62988C52" w14:textId="77777777" w:rsidTr="0071349A">
              <w:tc>
                <w:tcPr>
                  <w:tcW w:w="0" w:type="auto"/>
                  <w:shd w:val="clear" w:color="auto" w:fill="FFFFFF"/>
                  <w:hideMark/>
                </w:tcPr>
                <w:p w14:paraId="4B88BAF6" w14:textId="77777777" w:rsidR="00A63340" w:rsidRPr="00EC63FC" w:rsidRDefault="00A63340" w:rsidP="00A63340">
                  <w:pPr>
                    <w:jc w:val="both"/>
                    <w:rPr>
                      <w:rFonts w:asciiTheme="majorHAnsi" w:eastAsia="Times New Roman" w:hAnsiTheme="majorHAnsi" w:cstheme="majorHAnsi"/>
                      <w:i/>
                      <w:iCs/>
                      <w:color w:val="000000"/>
                      <w:kern w:val="0"/>
                      <w:lang w:val="en-US" w:eastAsia="fr-FR"/>
                      <w14:ligatures w14:val="none"/>
                    </w:rPr>
                  </w:pPr>
                  <w:r w:rsidRPr="00EC63FC">
                    <w:rPr>
                      <w:rFonts w:asciiTheme="majorHAnsi" w:hAnsiTheme="majorHAnsi" w:cstheme="majorHAnsi"/>
                      <w:i/>
                      <w:iCs/>
                    </w:rPr>
                    <w:t xml:space="preserve">Keywords: church and loyalty and religious freedom in workplace, remarriage and dismissal - </w:t>
                  </w:r>
                  <w:r w:rsidRPr="00EC63FC">
                    <w:rPr>
                      <w:rFonts w:asciiTheme="majorHAnsi" w:hAnsiTheme="majorHAnsi" w:cstheme="majorHAnsi"/>
                      <w:i/>
                      <w:iCs/>
                      <w:lang w:val="en-US" w:eastAsia="fr-FR"/>
                    </w:rPr>
                    <w:t>occupational requirement - principle of proportionality -</w:t>
                  </w:r>
                  <w:r w:rsidRPr="00EC63FC">
                    <w:rPr>
                      <w:rFonts w:asciiTheme="majorHAnsi" w:hAnsiTheme="majorHAnsi" w:cstheme="majorHAnsi"/>
                      <w:i/>
                      <w:iCs/>
                    </w:rPr>
                    <w:t xml:space="preserve"> </w:t>
                  </w:r>
                  <w:r w:rsidRPr="00EC63FC">
                    <w:rPr>
                      <w:rFonts w:asciiTheme="majorHAnsi" w:hAnsiTheme="majorHAnsi" w:cstheme="majorHAnsi"/>
                      <w:i/>
                      <w:iCs/>
                      <w:lang w:val="en-US" w:eastAsia="fr-FR"/>
                    </w:rPr>
                    <w:t xml:space="preserve">Article 4(2) of </w:t>
                  </w:r>
                  <w:r w:rsidRPr="00EC63FC">
                    <w:rPr>
                      <w:rFonts w:asciiTheme="majorHAnsi" w:hAnsiTheme="majorHAnsi" w:cstheme="majorHAnsi"/>
                      <w:i/>
                      <w:iCs/>
                    </w:rPr>
                    <w:t>Directive 2000/78</w:t>
                  </w:r>
                  <w:r w:rsidRPr="00EC63FC">
                    <w:rPr>
                      <w:rFonts w:asciiTheme="majorHAnsi" w:hAnsiTheme="majorHAnsi" w:cstheme="majorHAnsi"/>
                      <w:i/>
                      <w:iCs/>
                      <w:lang w:val="en-US" w:eastAsia="fr-FR"/>
                    </w:rPr>
                    <w:t>.</w:t>
                  </w:r>
                </w:p>
                <w:p w14:paraId="577946A8" w14:textId="77777777" w:rsidR="00A63340" w:rsidRPr="00EC63FC" w:rsidRDefault="00A63340" w:rsidP="00A63340">
                  <w:pPr>
                    <w:jc w:val="both"/>
                    <w:rPr>
                      <w:rFonts w:asciiTheme="majorHAnsi" w:hAnsiTheme="majorHAnsi" w:cstheme="majorHAnsi"/>
                      <w:lang w:val="en-US" w:eastAsia="fr-FR"/>
                    </w:rPr>
                  </w:pPr>
                </w:p>
              </w:tc>
            </w:tr>
          </w:tbl>
          <w:p w14:paraId="114C1835" w14:textId="77777777" w:rsidR="00A63340" w:rsidRPr="00EC63FC" w:rsidRDefault="00A63340" w:rsidP="00A63340">
            <w:pPr>
              <w:rPr>
                <w:rFonts w:asciiTheme="majorHAnsi" w:hAnsiTheme="majorHAnsi" w:cstheme="majorHAnsi"/>
                <w:i/>
                <w:iCs/>
                <w:color w:val="000000" w:themeColor="text1"/>
              </w:rPr>
            </w:pPr>
          </w:p>
          <w:p w14:paraId="2F496ABE" w14:textId="77777777" w:rsidR="00A63340" w:rsidRPr="00EC63FC" w:rsidRDefault="00A63340" w:rsidP="00A63340">
            <w:pPr>
              <w:jc w:val="both"/>
              <w:rPr>
                <w:rFonts w:asciiTheme="majorHAnsi" w:hAnsiTheme="majorHAnsi" w:cstheme="majorHAnsi"/>
                <w:b/>
                <w:bCs/>
                <w:i/>
                <w:iCs/>
                <w:lang w:val="de-DE"/>
              </w:rPr>
            </w:pPr>
            <w:r w:rsidRPr="00EC63FC">
              <w:rPr>
                <w:rFonts w:asciiTheme="majorHAnsi" w:hAnsiTheme="majorHAnsi" w:cstheme="majorHAnsi"/>
                <w:b/>
                <w:bCs/>
                <w:lang w:val="de-DE"/>
              </w:rPr>
              <w:t xml:space="preserve">ECJ, Gd. Ch., C-414/16, 17/04/2018, </w:t>
            </w:r>
            <w:r w:rsidRPr="00EC63FC">
              <w:rPr>
                <w:rFonts w:asciiTheme="majorHAnsi" w:hAnsiTheme="majorHAnsi" w:cstheme="majorHAnsi"/>
                <w:b/>
                <w:bCs/>
                <w:i/>
                <w:iCs/>
                <w:lang w:val="de-DE"/>
              </w:rPr>
              <w:t xml:space="preserve">Vera Egenberger c/ </w:t>
            </w:r>
            <w:r w:rsidRPr="00EC63FC">
              <w:rPr>
                <w:rFonts w:asciiTheme="majorHAnsi" w:hAnsiTheme="majorHAnsi" w:cstheme="majorHAnsi"/>
                <w:b/>
                <w:bCs/>
                <w:i/>
                <w:iCs/>
                <w:lang w:val="de-DE" w:eastAsia="fr-FR"/>
              </w:rPr>
              <w:t>Evangelisches Werk für Diakonie und Entwicklung Ev</w:t>
            </w:r>
          </w:p>
          <w:p w14:paraId="2E90CB6C" w14:textId="77777777" w:rsidR="00A63340" w:rsidRPr="00EC63FC" w:rsidRDefault="00A63340" w:rsidP="00A63340">
            <w:pPr>
              <w:rPr>
                <w:rFonts w:asciiTheme="majorHAnsi" w:hAnsiTheme="majorHAnsi" w:cstheme="majorHAnsi"/>
              </w:rPr>
            </w:pPr>
            <w:r w:rsidRPr="00EC63FC">
              <w:rPr>
                <w:rFonts w:asciiTheme="majorHAnsi" w:hAnsiTheme="majorHAnsi" w:cstheme="majorHAnsi"/>
                <w:i/>
                <w:iCs/>
              </w:rPr>
              <w:t>Keywords: church and loyalty and religious freedom in workplace - recruitment procedure - membership of a church -  genuine, legitimate and justified occupational requirement - principle of proportionality - article 4(2) of Directive 2000/78.</w:t>
            </w:r>
          </w:p>
          <w:p w14:paraId="03D8C442" w14:textId="77777777" w:rsidR="00A63340" w:rsidRPr="00EC63FC" w:rsidRDefault="00A63340" w:rsidP="00A63340">
            <w:pPr>
              <w:jc w:val="both"/>
              <w:rPr>
                <w:rFonts w:asciiTheme="majorHAnsi" w:hAnsiTheme="majorHAnsi" w:cstheme="majorHAnsi"/>
                <w:b/>
                <w:bCs/>
              </w:rPr>
            </w:pPr>
          </w:p>
          <w:p w14:paraId="2DEDB92C" w14:textId="77777777" w:rsidR="00A63340" w:rsidRPr="00EC63FC" w:rsidRDefault="00A63340" w:rsidP="00A63340">
            <w:pPr>
              <w:jc w:val="both"/>
              <w:rPr>
                <w:rFonts w:asciiTheme="majorHAnsi" w:hAnsiTheme="majorHAnsi" w:cstheme="majorHAnsi"/>
                <w:b/>
                <w:bCs/>
                <w:i/>
                <w:iCs/>
                <w:lang w:val="fr-FR"/>
              </w:rPr>
            </w:pPr>
            <w:r w:rsidRPr="00EC63FC">
              <w:rPr>
                <w:rFonts w:asciiTheme="majorHAnsi" w:hAnsiTheme="majorHAnsi" w:cstheme="majorHAnsi"/>
                <w:b/>
                <w:bCs/>
                <w:lang w:val="fr-FR"/>
              </w:rPr>
              <w:t xml:space="preserve">ECJ, Gd. Ch., C—188/15, 14/05/2017, </w:t>
            </w:r>
            <w:r w:rsidRPr="00EC63FC">
              <w:rPr>
                <w:rFonts w:asciiTheme="majorHAnsi" w:hAnsiTheme="majorHAnsi" w:cstheme="majorHAnsi"/>
                <w:b/>
                <w:bCs/>
                <w:i/>
                <w:iCs/>
                <w:lang w:val="fr-FR" w:eastAsia="fr-FR"/>
              </w:rPr>
              <w:t>Asma Bougnaoui and Association de défense des droits de l’homme (ADDH) v Micropole SA</w:t>
            </w:r>
          </w:p>
          <w:tbl>
            <w:tblPr>
              <w:tblW w:w="5000" w:type="pct"/>
              <w:shd w:val="clear" w:color="auto" w:fill="FFFFFF"/>
              <w:tblCellMar>
                <w:left w:w="0" w:type="dxa"/>
                <w:right w:w="0" w:type="dxa"/>
              </w:tblCellMar>
              <w:tblLook w:val="04A0" w:firstRow="1" w:lastRow="0" w:firstColumn="1" w:lastColumn="0" w:noHBand="0" w:noVBand="1"/>
            </w:tblPr>
            <w:tblGrid>
              <w:gridCol w:w="8278"/>
            </w:tblGrid>
            <w:tr w:rsidR="00A63340" w:rsidRPr="00EC63FC" w14:paraId="7EA46363" w14:textId="77777777" w:rsidTr="0071349A">
              <w:tc>
                <w:tcPr>
                  <w:tcW w:w="0" w:type="auto"/>
                  <w:shd w:val="clear" w:color="auto" w:fill="FFFFFF"/>
                  <w:hideMark/>
                </w:tcPr>
                <w:p w14:paraId="13E5925F" w14:textId="77777777" w:rsidR="00A63340" w:rsidRPr="00EC63FC" w:rsidRDefault="00A63340" w:rsidP="00A63340">
                  <w:pPr>
                    <w:jc w:val="both"/>
                    <w:rPr>
                      <w:rFonts w:asciiTheme="majorHAnsi" w:hAnsiTheme="majorHAnsi" w:cstheme="majorHAnsi"/>
                      <w:i/>
                      <w:iCs/>
                    </w:rPr>
                  </w:pPr>
                  <w:r w:rsidRPr="00EC63FC">
                    <w:rPr>
                      <w:rFonts w:asciiTheme="majorHAnsi" w:hAnsiTheme="majorHAnsi" w:cstheme="majorHAnsi"/>
                      <w:i/>
                      <w:iCs/>
                    </w:rPr>
                    <w:t xml:space="preserve">Keywords: religious freedom and prohibition of </w:t>
                  </w:r>
                  <w:r w:rsidRPr="00EC63FC">
                    <w:rPr>
                      <w:rFonts w:asciiTheme="majorHAnsi" w:hAnsiTheme="majorHAnsi" w:cstheme="majorHAnsi"/>
                      <w:i/>
                      <w:iCs/>
                      <w:lang w:val="en-US" w:eastAsia="fr-FR"/>
                    </w:rPr>
                    <w:t>Islamic headscarf –</w:t>
                  </w:r>
                  <w:r w:rsidRPr="00EC63FC">
                    <w:rPr>
                      <w:rFonts w:asciiTheme="majorHAnsi" w:hAnsiTheme="majorHAnsi" w:cstheme="majorHAnsi"/>
                      <w:i/>
                      <w:iCs/>
                    </w:rPr>
                    <w:t xml:space="preserve"> dismissal - genuine and determining occupational requirement - principle of proportionality - article 4(1) of Directive 2000/78.</w:t>
                  </w:r>
                </w:p>
                <w:p w14:paraId="692D01A1" w14:textId="77777777" w:rsidR="00A63340" w:rsidRPr="00EC63FC" w:rsidRDefault="00A63340" w:rsidP="00A63340">
                  <w:pPr>
                    <w:jc w:val="both"/>
                    <w:rPr>
                      <w:rFonts w:asciiTheme="majorHAnsi" w:hAnsiTheme="majorHAnsi" w:cstheme="majorHAnsi"/>
                      <w:i/>
                      <w:iCs/>
                    </w:rPr>
                  </w:pPr>
                </w:p>
              </w:tc>
            </w:tr>
          </w:tbl>
          <w:p w14:paraId="0385CE5F" w14:textId="77777777" w:rsidR="00A63340" w:rsidRPr="00EC63FC" w:rsidRDefault="00A63340" w:rsidP="00A63340">
            <w:pPr>
              <w:rPr>
                <w:rFonts w:asciiTheme="majorHAnsi" w:hAnsiTheme="majorHAnsi" w:cstheme="majorHAnsi"/>
              </w:rPr>
            </w:pPr>
          </w:p>
          <w:p w14:paraId="3F4ABA4D" w14:textId="77777777" w:rsidR="00A63340" w:rsidRPr="00EC63FC" w:rsidRDefault="00A63340" w:rsidP="00A63340">
            <w:pPr>
              <w:rPr>
                <w:rFonts w:asciiTheme="majorHAnsi" w:hAnsiTheme="majorHAnsi" w:cstheme="majorHAnsi"/>
                <w:b/>
                <w:bCs/>
              </w:rPr>
            </w:pPr>
            <w:r w:rsidRPr="00EC63FC">
              <w:rPr>
                <w:rFonts w:asciiTheme="majorHAnsi" w:hAnsiTheme="majorHAnsi" w:cstheme="majorHAnsi"/>
                <w:b/>
                <w:bCs/>
              </w:rPr>
              <w:t>ECJ, Gd. Ch., C-157/15, 14/03/2017</w:t>
            </w:r>
            <w:r w:rsidRPr="00EC63FC">
              <w:rPr>
                <w:rFonts w:asciiTheme="majorHAnsi" w:hAnsiTheme="majorHAnsi" w:cstheme="majorHAnsi"/>
                <w:b/>
                <w:bCs/>
                <w:i/>
                <w:iCs/>
              </w:rPr>
              <w:t>, G 4S Secure Solutions</w:t>
            </w:r>
          </w:p>
          <w:p w14:paraId="4E257FAF" w14:textId="6A78F181" w:rsidR="00A63340" w:rsidRPr="00A63340" w:rsidRDefault="00A63340" w:rsidP="00A63340">
            <w:pPr>
              <w:jc w:val="both"/>
              <w:rPr>
                <w:rFonts w:asciiTheme="majorHAnsi" w:hAnsiTheme="majorHAnsi" w:cstheme="majorHAnsi"/>
                <w:i/>
                <w:iCs/>
                <w:lang w:val="en-US" w:eastAsia="fr-FR"/>
              </w:rPr>
            </w:pPr>
            <w:r w:rsidRPr="00EC63FC">
              <w:rPr>
                <w:rFonts w:asciiTheme="majorHAnsi" w:hAnsiTheme="majorHAnsi" w:cstheme="majorHAnsi"/>
                <w:i/>
                <w:iCs/>
              </w:rPr>
              <w:t xml:space="preserve">Keywords: religious freedom and prohibition of </w:t>
            </w:r>
            <w:r w:rsidRPr="00EC63FC">
              <w:rPr>
                <w:rFonts w:asciiTheme="majorHAnsi" w:hAnsiTheme="majorHAnsi" w:cstheme="majorHAnsi"/>
                <w:i/>
                <w:iCs/>
                <w:lang w:val="en-US" w:eastAsia="fr-FR"/>
              </w:rPr>
              <w:t xml:space="preserve">Islamic headscarf - </w:t>
            </w:r>
            <w:r w:rsidRPr="00EC63FC">
              <w:rPr>
                <w:rFonts w:asciiTheme="majorHAnsi" w:hAnsiTheme="majorHAnsi" w:cstheme="majorHAnsi"/>
                <w:i/>
                <w:iCs/>
              </w:rPr>
              <w:t>legitimate aim - patently neutral obligation - direct and indirect discrimination - article 2(2)(a) of Directive 2000/78. </w:t>
            </w:r>
          </w:p>
          <w:p w14:paraId="0FA046D3" w14:textId="77777777" w:rsidR="00A63340" w:rsidRPr="00EC63FC" w:rsidRDefault="00A63340" w:rsidP="00A63340">
            <w:pPr>
              <w:rPr>
                <w:rFonts w:asciiTheme="majorHAnsi" w:hAnsiTheme="majorHAnsi" w:cstheme="majorHAnsi"/>
                <w:b/>
                <w:bCs/>
              </w:rPr>
            </w:pPr>
          </w:p>
          <w:p w14:paraId="12C9D5DC" w14:textId="77777777" w:rsidR="00A63340" w:rsidRPr="00EC63FC" w:rsidRDefault="00A63340" w:rsidP="00A63340">
            <w:pPr>
              <w:pStyle w:val="Paragraphedeliste"/>
              <w:numPr>
                <w:ilvl w:val="0"/>
                <w:numId w:val="18"/>
              </w:numPr>
              <w:rPr>
                <w:rFonts w:asciiTheme="majorHAnsi" w:hAnsiTheme="majorHAnsi" w:cstheme="majorHAnsi"/>
                <w:b/>
                <w:bCs/>
                <w:lang w:val="nl-NL"/>
              </w:rPr>
            </w:pPr>
            <w:r w:rsidRPr="00EC63FC">
              <w:rPr>
                <w:rFonts w:asciiTheme="majorHAnsi" w:hAnsiTheme="majorHAnsi" w:cstheme="majorHAnsi"/>
                <w:b/>
                <w:bCs/>
                <w:lang w:val="nl-NL"/>
              </w:rPr>
              <w:t>Other cases</w:t>
            </w:r>
          </w:p>
          <w:p w14:paraId="641E1E27" w14:textId="77777777" w:rsidR="00A63340" w:rsidRPr="00EC63FC" w:rsidRDefault="00A63340" w:rsidP="00A63340">
            <w:pPr>
              <w:pStyle w:val="Paragraphedeliste"/>
              <w:rPr>
                <w:rFonts w:asciiTheme="majorHAnsi" w:hAnsiTheme="majorHAnsi" w:cstheme="majorHAnsi"/>
                <w:b/>
                <w:bCs/>
                <w:lang w:val="nl-NL"/>
              </w:rPr>
            </w:pPr>
          </w:p>
          <w:p w14:paraId="7277B813" w14:textId="77777777" w:rsidR="00A63340" w:rsidRPr="00EC63FC" w:rsidRDefault="00A63340" w:rsidP="00A63340">
            <w:pPr>
              <w:jc w:val="both"/>
              <w:rPr>
                <w:rFonts w:asciiTheme="majorHAnsi" w:hAnsiTheme="majorHAnsi" w:cstheme="majorHAnsi"/>
                <w:b/>
                <w:bCs/>
                <w:i/>
                <w:iCs/>
                <w:lang w:val="nl-NL"/>
              </w:rPr>
            </w:pPr>
            <w:r w:rsidRPr="00EC63FC">
              <w:rPr>
                <w:rFonts w:asciiTheme="majorHAnsi" w:hAnsiTheme="majorHAnsi" w:cstheme="majorHAnsi"/>
                <w:b/>
                <w:bCs/>
                <w:lang w:val="nl-NL"/>
              </w:rPr>
              <w:t xml:space="preserve">ECJ, Gd. Ch., C—426/16, 29/05/2018, </w:t>
            </w:r>
            <w:r w:rsidRPr="00EC63FC">
              <w:rPr>
                <w:rFonts w:asciiTheme="majorHAnsi" w:hAnsiTheme="majorHAnsi" w:cstheme="majorHAnsi"/>
                <w:b/>
                <w:bCs/>
                <w:i/>
                <w:iCs/>
                <w:lang w:val="nl-NL"/>
              </w:rPr>
              <w:t>Liga van Moskeeën en Islamitische Organisaties Provincie Antwerpen VZW and Others v Vlaams Gewest,</w:t>
            </w:r>
          </w:p>
          <w:p w14:paraId="75DD9F0B" w14:textId="77777777" w:rsidR="00A63340" w:rsidRPr="00EC63FC" w:rsidRDefault="00A63340" w:rsidP="00A63340">
            <w:pPr>
              <w:jc w:val="both"/>
              <w:rPr>
                <w:rFonts w:asciiTheme="majorHAnsi" w:hAnsiTheme="majorHAnsi" w:cstheme="majorHAnsi"/>
              </w:rPr>
            </w:pPr>
            <w:r w:rsidRPr="00EC63FC">
              <w:rPr>
                <w:rFonts w:asciiTheme="majorHAnsi" w:hAnsiTheme="majorHAnsi" w:cstheme="majorHAnsi"/>
                <w:i/>
                <w:iCs/>
              </w:rPr>
              <w:t>Keywords</w:t>
            </w:r>
            <w:r w:rsidRPr="00EC63FC">
              <w:rPr>
                <w:rFonts w:asciiTheme="majorHAnsi" w:hAnsiTheme="majorHAnsi" w:cstheme="majorHAnsi"/>
              </w:rPr>
              <w:t xml:space="preserve">: </w:t>
            </w:r>
            <w:r w:rsidRPr="00EC63FC">
              <w:rPr>
                <w:rFonts w:asciiTheme="majorHAnsi" w:hAnsiTheme="majorHAnsi" w:cstheme="majorHAnsi"/>
                <w:i/>
                <w:iCs/>
              </w:rPr>
              <w:t xml:space="preserve">religious rituals - specific method of slaughter animal prescribed by religious rights - restriction on the right to freedom of religion - protection of animal welfare is the main objective pursued by Regulation - article 4 No 1099/2009. </w:t>
            </w:r>
          </w:p>
          <w:p w14:paraId="522B69CC" w14:textId="77777777" w:rsidR="00A63340" w:rsidRPr="00EC63FC" w:rsidRDefault="00A63340" w:rsidP="00A63340">
            <w:pPr>
              <w:rPr>
                <w:rFonts w:asciiTheme="majorHAnsi" w:hAnsiTheme="majorHAnsi" w:cstheme="majorHAnsi"/>
              </w:rPr>
            </w:pPr>
            <w:r w:rsidRPr="00EC63FC">
              <w:rPr>
                <w:rFonts w:asciiTheme="majorHAnsi" w:hAnsiTheme="majorHAnsi" w:cstheme="majorHAnsi"/>
              </w:rPr>
              <w:t> </w:t>
            </w:r>
          </w:p>
          <w:p w14:paraId="66869A3D" w14:textId="77777777" w:rsidR="00A63340" w:rsidRPr="00EC63FC" w:rsidRDefault="00A63340" w:rsidP="00A63340">
            <w:pPr>
              <w:rPr>
                <w:rFonts w:asciiTheme="majorHAnsi" w:hAnsiTheme="majorHAnsi" w:cstheme="majorHAnsi"/>
                <w:b/>
                <w:bCs/>
                <w:i/>
                <w:iCs/>
              </w:rPr>
            </w:pPr>
            <w:r w:rsidRPr="00EC63FC">
              <w:rPr>
                <w:rFonts w:asciiTheme="majorHAnsi" w:hAnsiTheme="majorHAnsi" w:cstheme="majorHAnsi"/>
                <w:b/>
                <w:bCs/>
              </w:rPr>
              <w:t xml:space="preserve">ECJ, Gd. Ch., C—71/11 and C-99/11, 05/09/2012, </w:t>
            </w:r>
            <w:r w:rsidRPr="00EC63FC">
              <w:rPr>
                <w:rFonts w:asciiTheme="majorHAnsi" w:hAnsiTheme="majorHAnsi" w:cstheme="majorHAnsi"/>
                <w:b/>
                <w:bCs/>
                <w:i/>
                <w:iCs/>
              </w:rPr>
              <w:t>Y, Z</w:t>
            </w:r>
          </w:p>
          <w:p w14:paraId="5C7CACBA" w14:textId="604C815C" w:rsidR="00593085" w:rsidRPr="00A63340" w:rsidRDefault="00A63340" w:rsidP="00A63340">
            <w:pPr>
              <w:jc w:val="both"/>
              <w:rPr>
                <w:rFonts w:asciiTheme="majorHAnsi" w:hAnsiTheme="majorHAnsi" w:cstheme="majorHAnsi"/>
              </w:rPr>
            </w:pPr>
            <w:r w:rsidRPr="00EC63FC">
              <w:rPr>
                <w:rFonts w:asciiTheme="majorHAnsi" w:hAnsiTheme="majorHAnsi" w:cstheme="majorHAnsi"/>
                <w:i/>
                <w:iCs/>
              </w:rPr>
              <w:t>Keywords</w:t>
            </w:r>
            <w:r w:rsidRPr="00EC63FC">
              <w:rPr>
                <w:rFonts w:asciiTheme="majorHAnsi" w:hAnsiTheme="majorHAnsi" w:cstheme="majorHAnsi"/>
              </w:rPr>
              <w:t xml:space="preserve">: </w:t>
            </w:r>
            <w:r w:rsidRPr="00EC63FC">
              <w:rPr>
                <w:rFonts w:asciiTheme="majorHAnsi" w:hAnsiTheme="majorHAnsi" w:cstheme="majorHAnsi"/>
                <w:i/>
                <w:iCs/>
              </w:rPr>
              <w:t>Refugee and religious freedom - act of persecution - grant refugee status - article 2(d) of the Directive 2004/83/EC of 29 April 2004.</w:t>
            </w:r>
          </w:p>
        </w:tc>
      </w:tr>
      <w:tr w:rsidR="00593085" w:rsidRPr="008E2D64" w14:paraId="4058ADFD" w14:textId="77777777" w:rsidTr="00541A2A">
        <w:tc>
          <w:tcPr>
            <w:tcW w:w="8494" w:type="dxa"/>
          </w:tcPr>
          <w:p w14:paraId="7A523F70" w14:textId="77777777" w:rsidR="00593085" w:rsidRPr="009F095C" w:rsidRDefault="00593085" w:rsidP="00593085">
            <w:pPr>
              <w:rPr>
                <w:rFonts w:ascii="Calibri" w:hAnsi="Calibri" w:cs="Calibri"/>
                <w:b/>
                <w:bCs/>
                <w:sz w:val="28"/>
                <w:szCs w:val="28"/>
                <w:lang w:val="en-US"/>
              </w:rPr>
            </w:pPr>
            <w:r w:rsidRPr="009F095C">
              <w:rPr>
                <w:rFonts w:ascii="Calibri" w:hAnsi="Calibri" w:cs="Calibri"/>
                <w:b/>
                <w:bCs/>
                <w:color w:val="0070C0"/>
                <w:sz w:val="28"/>
                <w:szCs w:val="28"/>
                <w:lang w:val="en-US"/>
              </w:rPr>
              <w:lastRenderedPageBreak/>
              <w:t>Highlights</w:t>
            </w:r>
          </w:p>
        </w:tc>
      </w:tr>
      <w:tr w:rsidR="00A63340" w:rsidRPr="008E2D64" w14:paraId="152D4BB4" w14:textId="77777777" w:rsidTr="00541A2A">
        <w:tc>
          <w:tcPr>
            <w:tcW w:w="8494" w:type="dxa"/>
          </w:tcPr>
          <w:p w14:paraId="4C4EFE45" w14:textId="77777777" w:rsidR="00A63340" w:rsidRPr="00EC63FC" w:rsidRDefault="00A63340" w:rsidP="00A63340">
            <w:pPr>
              <w:rPr>
                <w:rFonts w:asciiTheme="majorHAnsi" w:hAnsiTheme="majorHAnsi" w:cstheme="majorHAnsi"/>
                <w:i/>
                <w:iCs/>
              </w:rPr>
            </w:pPr>
          </w:p>
          <w:p w14:paraId="2EEF0C9C" w14:textId="23C39743" w:rsidR="00A63340" w:rsidRDefault="00A63340" w:rsidP="00A63340">
            <w:pPr>
              <w:jc w:val="both"/>
              <w:rPr>
                <w:rFonts w:asciiTheme="majorHAnsi" w:hAnsiTheme="majorHAnsi" w:cstheme="majorHAnsi"/>
                <w:lang w:val="fr-FR" w:eastAsia="fr-FR"/>
              </w:rPr>
            </w:pPr>
            <w:r w:rsidRPr="006F6EBF">
              <w:rPr>
                <w:rFonts w:asciiTheme="majorHAnsi" w:hAnsiTheme="majorHAnsi" w:cstheme="majorHAnsi"/>
                <w:b/>
                <w:bCs/>
                <w:lang w:val="fr-FR" w:eastAsia="fr-FR"/>
              </w:rPr>
              <w:t>Strategic Analysis</w:t>
            </w:r>
            <w:r w:rsidRPr="006F6EBF">
              <w:rPr>
                <w:rFonts w:asciiTheme="majorHAnsi" w:hAnsiTheme="majorHAnsi" w:cstheme="majorHAnsi"/>
                <w:lang w:val="fr-FR" w:eastAsia="fr-FR"/>
              </w:rPr>
              <w:t>:</w:t>
            </w:r>
          </w:p>
          <w:p w14:paraId="7A0193A2" w14:textId="77777777" w:rsidR="00A63340" w:rsidRPr="006F6EBF" w:rsidRDefault="00A63340" w:rsidP="00A63340">
            <w:pPr>
              <w:jc w:val="both"/>
              <w:rPr>
                <w:rFonts w:asciiTheme="majorHAnsi" w:hAnsiTheme="majorHAnsi" w:cstheme="majorHAnsi"/>
                <w:lang w:val="fr-FR" w:eastAsia="fr-FR"/>
              </w:rPr>
            </w:pPr>
          </w:p>
          <w:p w14:paraId="245550C7" w14:textId="77777777" w:rsidR="00A63340" w:rsidRPr="006F6EBF" w:rsidRDefault="00A63340" w:rsidP="00A63340">
            <w:pPr>
              <w:numPr>
                <w:ilvl w:val="0"/>
                <w:numId w:val="20"/>
              </w:numPr>
              <w:jc w:val="both"/>
              <w:rPr>
                <w:rFonts w:asciiTheme="majorHAnsi" w:hAnsiTheme="majorHAnsi" w:cstheme="majorHAnsi"/>
                <w:lang w:val="fr-FR" w:eastAsia="fr-FR"/>
              </w:rPr>
            </w:pPr>
            <w:r w:rsidRPr="006F6EBF">
              <w:rPr>
                <w:rFonts w:asciiTheme="majorHAnsi" w:hAnsiTheme="majorHAnsi" w:cstheme="majorHAnsi"/>
                <w:lang w:eastAsia="fr-FR"/>
              </w:rPr>
              <w:t xml:space="preserve">Lawyers must determine whether the case falls within the scope of EU law to invoke the Charter effectively. </w:t>
            </w:r>
            <w:r w:rsidRPr="006F6EBF">
              <w:rPr>
                <w:rFonts w:asciiTheme="majorHAnsi" w:hAnsiTheme="majorHAnsi" w:cstheme="majorHAnsi"/>
                <w:lang w:val="fr-FR" w:eastAsia="fr-FR"/>
              </w:rPr>
              <w:t>For instance:</w:t>
            </w:r>
          </w:p>
          <w:p w14:paraId="7808B34A" w14:textId="77777777" w:rsidR="00A63340" w:rsidRPr="006F6EBF" w:rsidRDefault="00A63340" w:rsidP="00A63340">
            <w:pPr>
              <w:numPr>
                <w:ilvl w:val="1"/>
                <w:numId w:val="20"/>
              </w:numPr>
              <w:jc w:val="both"/>
              <w:rPr>
                <w:rFonts w:asciiTheme="majorHAnsi" w:hAnsiTheme="majorHAnsi" w:cstheme="majorHAnsi"/>
                <w:lang w:eastAsia="fr-FR"/>
              </w:rPr>
            </w:pPr>
            <w:r w:rsidRPr="006F6EBF">
              <w:rPr>
                <w:rFonts w:asciiTheme="majorHAnsi" w:hAnsiTheme="majorHAnsi" w:cstheme="majorHAnsi"/>
                <w:lang w:eastAsia="fr-FR"/>
              </w:rPr>
              <w:t>In employment law, does the dispute involve the application of EU anti-discrimination directives?</w:t>
            </w:r>
          </w:p>
          <w:p w14:paraId="00D3054A" w14:textId="77777777" w:rsidR="00A63340" w:rsidRPr="006F6EBF" w:rsidRDefault="00A63340" w:rsidP="00A63340">
            <w:pPr>
              <w:numPr>
                <w:ilvl w:val="1"/>
                <w:numId w:val="20"/>
              </w:numPr>
              <w:jc w:val="both"/>
              <w:rPr>
                <w:rFonts w:asciiTheme="majorHAnsi" w:hAnsiTheme="majorHAnsi" w:cstheme="majorHAnsi"/>
                <w:lang w:eastAsia="fr-FR"/>
              </w:rPr>
            </w:pPr>
            <w:r w:rsidRPr="006F6EBF">
              <w:rPr>
                <w:rFonts w:asciiTheme="majorHAnsi" w:hAnsiTheme="majorHAnsi" w:cstheme="majorHAnsi"/>
                <w:lang w:eastAsia="fr-FR"/>
              </w:rPr>
              <w:t>In immigration, is there a link to relevant EU asylum regulations or directives?</w:t>
            </w:r>
          </w:p>
          <w:p w14:paraId="3A7E8E79" w14:textId="77777777" w:rsidR="00A63340" w:rsidRDefault="00A63340" w:rsidP="00A63340">
            <w:pPr>
              <w:numPr>
                <w:ilvl w:val="0"/>
                <w:numId w:val="20"/>
              </w:numPr>
              <w:jc w:val="both"/>
              <w:rPr>
                <w:rFonts w:asciiTheme="majorHAnsi" w:hAnsiTheme="majorHAnsi" w:cstheme="majorHAnsi"/>
                <w:lang w:eastAsia="fr-FR"/>
              </w:rPr>
            </w:pPr>
            <w:r w:rsidRPr="006F6EBF">
              <w:rPr>
                <w:rFonts w:asciiTheme="majorHAnsi" w:hAnsiTheme="majorHAnsi" w:cstheme="majorHAnsi"/>
                <w:lang w:eastAsia="fr-FR"/>
              </w:rPr>
              <w:t>If EU law does not apply, alternative instruments such as the European Convention on Human Rights (ECHR, Article 9) or national constitutional protections may provide stronger grounds.</w:t>
            </w:r>
          </w:p>
          <w:p w14:paraId="11017CD5" w14:textId="77777777" w:rsidR="00A63340" w:rsidRPr="006F6EBF" w:rsidRDefault="00A63340" w:rsidP="00A63340">
            <w:pPr>
              <w:ind w:left="720"/>
              <w:jc w:val="both"/>
              <w:rPr>
                <w:rFonts w:asciiTheme="majorHAnsi" w:hAnsiTheme="majorHAnsi" w:cstheme="majorHAnsi"/>
                <w:lang w:eastAsia="fr-FR"/>
              </w:rPr>
            </w:pPr>
          </w:p>
          <w:p w14:paraId="242C8057" w14:textId="77777777" w:rsidR="00A63340" w:rsidRDefault="00A63340" w:rsidP="00A63340">
            <w:pPr>
              <w:jc w:val="both"/>
              <w:rPr>
                <w:rFonts w:asciiTheme="majorHAnsi" w:hAnsiTheme="majorHAnsi" w:cstheme="majorHAnsi"/>
                <w:lang w:val="fr-FR" w:eastAsia="fr-FR"/>
              </w:rPr>
            </w:pPr>
            <w:r w:rsidRPr="002D4E51">
              <w:rPr>
                <w:rFonts w:asciiTheme="majorHAnsi" w:hAnsiTheme="majorHAnsi" w:cstheme="majorHAnsi"/>
                <w:lang w:val="en-GB" w:eastAsia="fr-FR"/>
              </w:rPr>
              <w:t xml:space="preserve"> </w:t>
            </w:r>
            <w:r w:rsidRPr="006F6EBF">
              <w:rPr>
                <w:rFonts w:asciiTheme="majorHAnsi" w:hAnsiTheme="majorHAnsi" w:cstheme="majorHAnsi"/>
                <w:b/>
                <w:bCs/>
                <w:lang w:val="fr-FR" w:eastAsia="fr-FR"/>
              </w:rPr>
              <w:t>Preparation for Preliminary References</w:t>
            </w:r>
            <w:r w:rsidRPr="006F6EBF">
              <w:rPr>
                <w:rFonts w:asciiTheme="majorHAnsi" w:hAnsiTheme="majorHAnsi" w:cstheme="majorHAnsi"/>
                <w:lang w:val="fr-FR" w:eastAsia="fr-FR"/>
              </w:rPr>
              <w:t>:</w:t>
            </w:r>
          </w:p>
          <w:p w14:paraId="20B94E7D" w14:textId="77777777" w:rsidR="00A63340" w:rsidRPr="006F6EBF" w:rsidRDefault="00A63340" w:rsidP="00A63340">
            <w:pPr>
              <w:jc w:val="both"/>
              <w:rPr>
                <w:rFonts w:asciiTheme="majorHAnsi" w:hAnsiTheme="majorHAnsi" w:cstheme="majorHAnsi"/>
                <w:lang w:val="fr-FR" w:eastAsia="fr-FR"/>
              </w:rPr>
            </w:pPr>
          </w:p>
          <w:p w14:paraId="5A445A60" w14:textId="77777777" w:rsidR="00A63340" w:rsidRPr="006F6EBF" w:rsidRDefault="00A63340" w:rsidP="00A63340">
            <w:pPr>
              <w:numPr>
                <w:ilvl w:val="0"/>
                <w:numId w:val="21"/>
              </w:numPr>
              <w:jc w:val="both"/>
              <w:rPr>
                <w:rFonts w:asciiTheme="majorHAnsi" w:hAnsiTheme="majorHAnsi" w:cstheme="majorHAnsi"/>
                <w:lang w:eastAsia="fr-FR"/>
              </w:rPr>
            </w:pPr>
            <w:r w:rsidRPr="006F6EBF">
              <w:rPr>
                <w:rFonts w:asciiTheme="majorHAnsi" w:hAnsiTheme="majorHAnsi" w:cstheme="majorHAnsi"/>
                <w:lang w:eastAsia="fr-FR"/>
              </w:rPr>
              <w:t>When EU law is applicable, lawyers should carefully draft preliminary questions to clarify how Article 10 should be interpreted.</w:t>
            </w:r>
          </w:p>
          <w:p w14:paraId="0B4C0DBD" w14:textId="77777777" w:rsidR="00A63340" w:rsidRPr="006F6EBF" w:rsidRDefault="00A63340" w:rsidP="00A63340">
            <w:pPr>
              <w:numPr>
                <w:ilvl w:val="0"/>
                <w:numId w:val="21"/>
              </w:numPr>
              <w:jc w:val="both"/>
              <w:rPr>
                <w:rFonts w:asciiTheme="majorHAnsi" w:hAnsiTheme="majorHAnsi" w:cstheme="majorHAnsi"/>
                <w:lang w:val="fr-FR" w:eastAsia="fr-FR"/>
              </w:rPr>
            </w:pPr>
            <w:r w:rsidRPr="006F6EBF">
              <w:rPr>
                <w:rFonts w:asciiTheme="majorHAnsi" w:hAnsiTheme="majorHAnsi" w:cstheme="majorHAnsi"/>
                <w:lang w:val="fr-FR" w:eastAsia="fr-FR"/>
              </w:rPr>
              <w:t>Questions could address:</w:t>
            </w:r>
          </w:p>
          <w:p w14:paraId="7FB7BE9C" w14:textId="77777777" w:rsidR="00A63340" w:rsidRPr="006F6EBF" w:rsidRDefault="00A63340" w:rsidP="00A63340">
            <w:pPr>
              <w:numPr>
                <w:ilvl w:val="1"/>
                <w:numId w:val="21"/>
              </w:numPr>
              <w:jc w:val="both"/>
              <w:rPr>
                <w:rFonts w:asciiTheme="majorHAnsi" w:hAnsiTheme="majorHAnsi" w:cstheme="majorHAnsi"/>
                <w:lang w:eastAsia="fr-FR"/>
              </w:rPr>
            </w:pPr>
            <w:r w:rsidRPr="006F6EBF">
              <w:rPr>
                <w:rFonts w:asciiTheme="majorHAnsi" w:hAnsiTheme="majorHAnsi" w:cstheme="majorHAnsi"/>
                <w:lang w:eastAsia="fr-FR"/>
              </w:rPr>
              <w:t>The scope of permissible restrictions on religious expression.</w:t>
            </w:r>
          </w:p>
          <w:p w14:paraId="4718544B" w14:textId="77777777" w:rsidR="00A63340" w:rsidRPr="006F6EBF" w:rsidRDefault="00A63340" w:rsidP="00A63340">
            <w:pPr>
              <w:numPr>
                <w:ilvl w:val="1"/>
                <w:numId w:val="21"/>
              </w:numPr>
              <w:jc w:val="both"/>
              <w:rPr>
                <w:rFonts w:asciiTheme="majorHAnsi" w:hAnsiTheme="majorHAnsi" w:cstheme="majorHAnsi"/>
                <w:lang w:eastAsia="fr-FR"/>
              </w:rPr>
            </w:pPr>
            <w:r w:rsidRPr="006F6EBF">
              <w:rPr>
                <w:rFonts w:asciiTheme="majorHAnsi" w:hAnsiTheme="majorHAnsi" w:cstheme="majorHAnsi"/>
                <w:lang w:eastAsia="fr-FR"/>
              </w:rPr>
              <w:t>How Article 10 interacts with other rights, such as the right to private life (Article 7) or non-discrimination (Article 21).</w:t>
            </w:r>
          </w:p>
          <w:p w14:paraId="0B669133" w14:textId="77777777" w:rsidR="00A63340" w:rsidRDefault="00A63340" w:rsidP="00A63340">
            <w:pPr>
              <w:numPr>
                <w:ilvl w:val="0"/>
                <w:numId w:val="21"/>
              </w:numPr>
              <w:jc w:val="both"/>
              <w:rPr>
                <w:rFonts w:asciiTheme="majorHAnsi" w:hAnsiTheme="majorHAnsi" w:cstheme="majorHAnsi"/>
                <w:lang w:eastAsia="fr-FR"/>
              </w:rPr>
            </w:pPr>
            <w:r w:rsidRPr="006F6EBF">
              <w:rPr>
                <w:rFonts w:asciiTheme="majorHAnsi" w:hAnsiTheme="majorHAnsi" w:cstheme="majorHAnsi"/>
                <w:lang w:eastAsia="fr-FR"/>
              </w:rPr>
              <w:t xml:space="preserve">Example: In </w:t>
            </w:r>
            <w:r w:rsidRPr="006F6EBF">
              <w:rPr>
                <w:rFonts w:asciiTheme="majorHAnsi" w:hAnsiTheme="majorHAnsi" w:cstheme="majorHAnsi"/>
                <w:i/>
                <w:iCs/>
                <w:lang w:eastAsia="fr-FR"/>
              </w:rPr>
              <w:t>CJEU, Bougnaoui v. Micropole SA (C-188/15)</w:t>
            </w:r>
            <w:r w:rsidRPr="006F6EBF">
              <w:rPr>
                <w:rFonts w:asciiTheme="majorHAnsi" w:hAnsiTheme="majorHAnsi" w:cstheme="majorHAnsi"/>
                <w:lang w:eastAsia="fr-FR"/>
              </w:rPr>
              <w:t>, the court examined the balance between religious freedom and workplace policies.</w:t>
            </w:r>
          </w:p>
          <w:p w14:paraId="10178A89" w14:textId="77777777" w:rsidR="00A63340" w:rsidRPr="006F6EBF" w:rsidRDefault="00A63340" w:rsidP="00A63340">
            <w:pPr>
              <w:ind w:left="720"/>
              <w:jc w:val="both"/>
              <w:rPr>
                <w:rFonts w:asciiTheme="majorHAnsi" w:hAnsiTheme="majorHAnsi" w:cstheme="majorHAnsi"/>
                <w:lang w:eastAsia="fr-FR"/>
              </w:rPr>
            </w:pPr>
          </w:p>
          <w:p w14:paraId="78DCFDBB" w14:textId="77777777" w:rsidR="00A63340" w:rsidRDefault="00A63340" w:rsidP="00A63340">
            <w:pPr>
              <w:jc w:val="both"/>
              <w:rPr>
                <w:rFonts w:asciiTheme="majorHAnsi" w:hAnsiTheme="majorHAnsi" w:cstheme="majorHAnsi"/>
                <w:lang w:val="fr-FR" w:eastAsia="fr-FR"/>
              </w:rPr>
            </w:pPr>
            <w:r w:rsidRPr="002D4E51">
              <w:rPr>
                <w:rFonts w:asciiTheme="majorHAnsi" w:hAnsiTheme="majorHAnsi" w:cstheme="majorHAnsi"/>
                <w:lang w:val="en-GB" w:eastAsia="fr-FR"/>
              </w:rPr>
              <w:t xml:space="preserve"> </w:t>
            </w:r>
            <w:r w:rsidRPr="006F6EBF">
              <w:rPr>
                <w:rFonts w:asciiTheme="majorHAnsi" w:hAnsiTheme="majorHAnsi" w:cstheme="majorHAnsi"/>
                <w:b/>
                <w:bCs/>
                <w:lang w:val="fr-FR" w:eastAsia="fr-FR"/>
              </w:rPr>
              <w:t>Interaction with Other Rights</w:t>
            </w:r>
            <w:r w:rsidRPr="006F6EBF">
              <w:rPr>
                <w:rFonts w:asciiTheme="majorHAnsi" w:hAnsiTheme="majorHAnsi" w:cstheme="majorHAnsi"/>
                <w:lang w:val="fr-FR" w:eastAsia="fr-FR"/>
              </w:rPr>
              <w:t>:</w:t>
            </w:r>
          </w:p>
          <w:p w14:paraId="55A2805D" w14:textId="77777777" w:rsidR="00A63340" w:rsidRPr="006F6EBF" w:rsidRDefault="00A63340" w:rsidP="00A63340">
            <w:pPr>
              <w:jc w:val="both"/>
              <w:rPr>
                <w:rFonts w:asciiTheme="majorHAnsi" w:hAnsiTheme="majorHAnsi" w:cstheme="majorHAnsi"/>
                <w:lang w:val="fr-FR" w:eastAsia="fr-FR"/>
              </w:rPr>
            </w:pPr>
          </w:p>
          <w:p w14:paraId="50FEF594" w14:textId="77777777" w:rsidR="00A63340" w:rsidRPr="006F6EBF" w:rsidRDefault="00A63340" w:rsidP="00A63340">
            <w:pPr>
              <w:numPr>
                <w:ilvl w:val="0"/>
                <w:numId w:val="22"/>
              </w:numPr>
              <w:jc w:val="both"/>
              <w:rPr>
                <w:rFonts w:asciiTheme="majorHAnsi" w:hAnsiTheme="majorHAnsi" w:cstheme="majorHAnsi"/>
                <w:lang w:eastAsia="fr-FR"/>
              </w:rPr>
            </w:pPr>
            <w:r w:rsidRPr="006F6EBF">
              <w:rPr>
                <w:rFonts w:asciiTheme="majorHAnsi" w:hAnsiTheme="majorHAnsi" w:cstheme="majorHAnsi"/>
                <w:lang w:eastAsia="fr-FR"/>
              </w:rPr>
              <w:t>Article 10 often strengthens arguments involving:</w:t>
            </w:r>
          </w:p>
          <w:p w14:paraId="60201857" w14:textId="77777777" w:rsidR="00A63340" w:rsidRPr="006F6EBF" w:rsidRDefault="00A63340" w:rsidP="00A63340">
            <w:pPr>
              <w:numPr>
                <w:ilvl w:val="1"/>
                <w:numId w:val="22"/>
              </w:numPr>
              <w:jc w:val="both"/>
              <w:rPr>
                <w:rFonts w:asciiTheme="majorHAnsi" w:hAnsiTheme="majorHAnsi" w:cstheme="majorHAnsi"/>
                <w:lang w:val="fr-FR" w:eastAsia="fr-FR"/>
              </w:rPr>
            </w:pPr>
            <w:r w:rsidRPr="006F6EBF">
              <w:rPr>
                <w:rFonts w:asciiTheme="majorHAnsi" w:hAnsiTheme="majorHAnsi" w:cstheme="majorHAnsi"/>
                <w:lang w:val="fr-FR" w:eastAsia="fr-FR"/>
              </w:rPr>
              <w:t>Non-discrimination (Article 21), particularly where religious minorities face unequal treatment.</w:t>
            </w:r>
          </w:p>
          <w:p w14:paraId="4A5298D2" w14:textId="77777777" w:rsidR="00A63340" w:rsidRPr="006F6EBF" w:rsidRDefault="00A63340" w:rsidP="00A63340">
            <w:pPr>
              <w:numPr>
                <w:ilvl w:val="1"/>
                <w:numId w:val="22"/>
              </w:numPr>
              <w:jc w:val="both"/>
              <w:rPr>
                <w:rFonts w:asciiTheme="majorHAnsi" w:hAnsiTheme="majorHAnsi" w:cstheme="majorHAnsi"/>
                <w:lang w:eastAsia="fr-FR"/>
              </w:rPr>
            </w:pPr>
            <w:r w:rsidRPr="006F6EBF">
              <w:rPr>
                <w:rFonts w:asciiTheme="majorHAnsi" w:hAnsiTheme="majorHAnsi" w:cstheme="majorHAnsi"/>
                <w:lang w:eastAsia="fr-FR"/>
              </w:rPr>
              <w:t>Freedom of expression (Article 11), especially in cases where expressing religious opinions intersects with public debates.</w:t>
            </w:r>
          </w:p>
          <w:p w14:paraId="5DBD9A9C" w14:textId="77777777" w:rsidR="00A63340" w:rsidRDefault="00A63340" w:rsidP="00A63340">
            <w:pPr>
              <w:numPr>
                <w:ilvl w:val="1"/>
                <w:numId w:val="22"/>
              </w:numPr>
              <w:jc w:val="both"/>
              <w:rPr>
                <w:rFonts w:asciiTheme="majorHAnsi" w:hAnsiTheme="majorHAnsi" w:cstheme="majorHAnsi"/>
                <w:lang w:eastAsia="fr-FR"/>
              </w:rPr>
            </w:pPr>
            <w:r w:rsidRPr="006F6EBF">
              <w:rPr>
                <w:rFonts w:asciiTheme="majorHAnsi" w:hAnsiTheme="majorHAnsi" w:cstheme="majorHAnsi"/>
                <w:lang w:eastAsia="fr-FR"/>
              </w:rPr>
              <w:t>Right to asylum (Article 18), providing additional grounds for protection in cases of religious persecution.</w:t>
            </w:r>
          </w:p>
          <w:p w14:paraId="6089DD10" w14:textId="77777777" w:rsidR="00A63340" w:rsidRPr="006F6EBF" w:rsidRDefault="00A63340" w:rsidP="00A63340">
            <w:pPr>
              <w:ind w:left="1440"/>
              <w:jc w:val="both"/>
              <w:rPr>
                <w:rFonts w:asciiTheme="majorHAnsi" w:hAnsiTheme="majorHAnsi" w:cstheme="majorHAnsi"/>
                <w:lang w:eastAsia="fr-FR"/>
              </w:rPr>
            </w:pPr>
          </w:p>
          <w:p w14:paraId="4DE14935" w14:textId="77777777" w:rsidR="00A63340" w:rsidRDefault="00A63340" w:rsidP="00A63340">
            <w:pPr>
              <w:jc w:val="both"/>
              <w:rPr>
                <w:rFonts w:asciiTheme="majorHAnsi" w:hAnsiTheme="majorHAnsi" w:cstheme="majorHAnsi"/>
                <w:lang w:val="fr-FR" w:eastAsia="fr-FR"/>
              </w:rPr>
            </w:pPr>
            <w:r w:rsidRPr="006F6EBF">
              <w:rPr>
                <w:rFonts w:asciiTheme="majorHAnsi" w:hAnsiTheme="majorHAnsi" w:cstheme="majorHAnsi"/>
                <w:b/>
                <w:bCs/>
                <w:lang w:val="fr-FR" w:eastAsia="fr-FR"/>
              </w:rPr>
              <w:t>Developing Cross-Cutting Arguments</w:t>
            </w:r>
            <w:r w:rsidRPr="006F6EBF">
              <w:rPr>
                <w:rFonts w:asciiTheme="majorHAnsi" w:hAnsiTheme="majorHAnsi" w:cstheme="majorHAnsi"/>
                <w:lang w:val="fr-FR" w:eastAsia="fr-FR"/>
              </w:rPr>
              <w:t>:</w:t>
            </w:r>
          </w:p>
          <w:p w14:paraId="2478AB64" w14:textId="77777777" w:rsidR="00A63340" w:rsidRPr="006F6EBF" w:rsidRDefault="00A63340" w:rsidP="00A63340">
            <w:pPr>
              <w:jc w:val="both"/>
              <w:rPr>
                <w:rFonts w:asciiTheme="majorHAnsi" w:hAnsiTheme="majorHAnsi" w:cstheme="majorHAnsi"/>
                <w:lang w:val="fr-FR" w:eastAsia="fr-FR"/>
              </w:rPr>
            </w:pPr>
          </w:p>
          <w:p w14:paraId="56C25DBB" w14:textId="77777777" w:rsidR="00A63340" w:rsidRPr="006F6EBF" w:rsidRDefault="00A63340" w:rsidP="00A63340">
            <w:pPr>
              <w:numPr>
                <w:ilvl w:val="0"/>
                <w:numId w:val="23"/>
              </w:numPr>
              <w:jc w:val="both"/>
              <w:rPr>
                <w:rFonts w:asciiTheme="majorHAnsi" w:hAnsiTheme="majorHAnsi" w:cstheme="majorHAnsi"/>
                <w:lang w:eastAsia="fr-FR"/>
              </w:rPr>
            </w:pPr>
            <w:r w:rsidRPr="006F6EBF">
              <w:rPr>
                <w:rFonts w:asciiTheme="majorHAnsi" w:hAnsiTheme="majorHAnsi" w:cstheme="majorHAnsi"/>
                <w:lang w:eastAsia="fr-FR"/>
              </w:rPr>
              <w:t>When invoking Article 10, link it to broader EU legal principles, such as proportionality or subsidiarity, to show how the restriction or action undermines the Charter’s values as a whole.</w:t>
            </w:r>
          </w:p>
          <w:p w14:paraId="7992A2DA" w14:textId="77777777" w:rsidR="00A63340" w:rsidRPr="006F6EBF" w:rsidRDefault="00A63340" w:rsidP="00A63340">
            <w:pPr>
              <w:numPr>
                <w:ilvl w:val="0"/>
                <w:numId w:val="23"/>
              </w:numPr>
              <w:jc w:val="both"/>
              <w:rPr>
                <w:rFonts w:asciiTheme="majorHAnsi" w:hAnsiTheme="majorHAnsi" w:cstheme="majorHAnsi"/>
                <w:lang w:eastAsia="fr-FR"/>
              </w:rPr>
            </w:pPr>
            <w:r w:rsidRPr="006F6EBF">
              <w:rPr>
                <w:rFonts w:asciiTheme="majorHAnsi" w:hAnsiTheme="majorHAnsi" w:cstheme="majorHAnsi"/>
                <w:lang w:eastAsia="fr-FR"/>
              </w:rPr>
              <w:t>Cite relevant CJEU case law to demonstrate how Article 10 has been interpreted in similar contexts, emphasizing both individual rights and institutional obligations</w:t>
            </w:r>
          </w:p>
          <w:p w14:paraId="251797F5" w14:textId="1D0253BD" w:rsidR="00A63340" w:rsidRPr="008E2D64" w:rsidRDefault="00A63340" w:rsidP="00A63340">
            <w:pPr>
              <w:rPr>
                <w:rFonts w:ascii="Calibri" w:hAnsi="Calibri" w:cs="Calibri"/>
                <w:i/>
                <w:iCs/>
                <w:lang w:val="en-US"/>
              </w:rPr>
            </w:pPr>
          </w:p>
        </w:tc>
      </w:tr>
      <w:tr w:rsidR="00A63340" w:rsidRPr="008E2D64" w14:paraId="0C5F89DE" w14:textId="77777777" w:rsidTr="00541A2A">
        <w:tc>
          <w:tcPr>
            <w:tcW w:w="8494" w:type="dxa"/>
          </w:tcPr>
          <w:p w14:paraId="2B76EC9A" w14:textId="1DCC6A15" w:rsidR="00A63340" w:rsidRPr="009F095C" w:rsidRDefault="00A63340" w:rsidP="00A63340">
            <w:pPr>
              <w:rPr>
                <w:rFonts w:ascii="Calibri" w:hAnsi="Calibri" w:cs="Calibri"/>
                <w:b/>
                <w:bCs/>
                <w:sz w:val="28"/>
                <w:szCs w:val="28"/>
                <w:lang w:val="en-US"/>
              </w:rPr>
            </w:pPr>
            <w:r w:rsidRPr="009F095C">
              <w:rPr>
                <w:rFonts w:ascii="Calibri" w:hAnsi="Calibri" w:cs="Calibri"/>
                <w:b/>
                <w:bCs/>
                <w:color w:val="0070C0"/>
                <w:sz w:val="28"/>
                <w:szCs w:val="28"/>
                <w:lang w:val="en-US"/>
              </w:rPr>
              <w:t>Correspondence with other European/International instruments</w:t>
            </w:r>
          </w:p>
        </w:tc>
      </w:tr>
      <w:tr w:rsidR="00A63340" w:rsidRPr="008E2D64" w14:paraId="46150B45" w14:textId="77777777" w:rsidTr="00541A2A">
        <w:tc>
          <w:tcPr>
            <w:tcW w:w="8494" w:type="dxa"/>
          </w:tcPr>
          <w:p w14:paraId="25633C1F" w14:textId="77777777" w:rsidR="00A63340" w:rsidRDefault="00A63340" w:rsidP="00A63340">
            <w:pPr>
              <w:rPr>
                <w:rFonts w:asciiTheme="majorHAnsi" w:hAnsiTheme="majorHAnsi" w:cstheme="majorHAnsi"/>
              </w:rPr>
            </w:pPr>
          </w:p>
          <w:p w14:paraId="6B064A33" w14:textId="77777777" w:rsidR="00A63340" w:rsidRPr="00EC63FC" w:rsidRDefault="00A63340" w:rsidP="00A63340">
            <w:pPr>
              <w:pStyle w:val="Paragraphedeliste"/>
              <w:numPr>
                <w:ilvl w:val="0"/>
                <w:numId w:val="18"/>
              </w:numPr>
              <w:jc w:val="both"/>
              <w:rPr>
                <w:rFonts w:asciiTheme="majorHAnsi" w:hAnsiTheme="majorHAnsi" w:cstheme="majorHAnsi"/>
              </w:rPr>
            </w:pPr>
            <w:r w:rsidRPr="00EC63FC">
              <w:rPr>
                <w:rFonts w:asciiTheme="majorHAnsi" w:hAnsiTheme="majorHAnsi" w:cstheme="majorHAnsi"/>
              </w:rPr>
              <w:t>European Convention on Human Rights, Article 9</w:t>
            </w:r>
          </w:p>
          <w:p w14:paraId="4838CCC9" w14:textId="07867F29" w:rsidR="00A63340" w:rsidRPr="002D4E51" w:rsidRDefault="00A63340" w:rsidP="00A63340">
            <w:pPr>
              <w:pStyle w:val="Paragraphedeliste"/>
              <w:numPr>
                <w:ilvl w:val="0"/>
                <w:numId w:val="18"/>
              </w:numPr>
              <w:rPr>
                <w:rFonts w:asciiTheme="majorHAnsi" w:hAnsiTheme="majorHAnsi" w:cstheme="majorHAnsi"/>
                <w:lang w:eastAsia="fr-FR"/>
              </w:rPr>
            </w:pPr>
            <w:r w:rsidRPr="00EC63FC">
              <w:rPr>
                <w:rFonts w:asciiTheme="majorHAnsi" w:hAnsiTheme="majorHAnsi" w:cstheme="majorHAnsi"/>
              </w:rPr>
              <w:t>European Social Charter, A</w:t>
            </w:r>
            <w:r w:rsidRPr="00EC63FC">
              <w:rPr>
                <w:rFonts w:asciiTheme="majorHAnsi" w:hAnsiTheme="majorHAnsi" w:cstheme="majorHAnsi"/>
                <w:lang w:eastAsia="fr-FR"/>
              </w:rPr>
              <w:t>rticle 18</w:t>
            </w:r>
          </w:p>
        </w:tc>
      </w:tr>
      <w:tr w:rsidR="00A63340" w:rsidRPr="008E2D64" w14:paraId="0B26731A" w14:textId="77777777" w:rsidTr="00CA5340">
        <w:tc>
          <w:tcPr>
            <w:tcW w:w="8494" w:type="dxa"/>
          </w:tcPr>
          <w:p w14:paraId="75063B86" w14:textId="41A81A64" w:rsidR="00A63340" w:rsidRPr="009F095C" w:rsidRDefault="00A63340" w:rsidP="00A63340">
            <w:pPr>
              <w:rPr>
                <w:rFonts w:cstheme="minorHAnsi"/>
                <w:b/>
                <w:bCs/>
                <w:color w:val="000000" w:themeColor="text1"/>
                <w:lang w:val="en-US"/>
              </w:rPr>
            </w:pPr>
            <w:r w:rsidRPr="009F095C">
              <w:rPr>
                <w:rFonts w:cstheme="minorHAnsi"/>
                <w:b/>
                <w:bCs/>
                <w:color w:val="000000" w:themeColor="text1"/>
                <w:lang w:val="en-US"/>
              </w:rPr>
              <w:lastRenderedPageBreak/>
              <w:t>Further readings</w:t>
            </w:r>
          </w:p>
        </w:tc>
      </w:tr>
      <w:tr w:rsidR="00A63340" w:rsidRPr="008E2D64" w14:paraId="2BA0518F" w14:textId="77777777" w:rsidTr="00CA5340">
        <w:tc>
          <w:tcPr>
            <w:tcW w:w="8494" w:type="dxa"/>
          </w:tcPr>
          <w:p w14:paraId="2FA1AE4B" w14:textId="77777777" w:rsidR="00A63340" w:rsidRDefault="00A63340" w:rsidP="00A63340">
            <w:pPr>
              <w:rPr>
                <w:rFonts w:asciiTheme="majorHAnsi" w:hAnsiTheme="majorHAnsi" w:cstheme="majorHAnsi"/>
                <w:i/>
                <w:iCs/>
                <w:color w:val="000000" w:themeColor="text1"/>
                <w:lang w:val="en-US"/>
              </w:rPr>
            </w:pPr>
          </w:p>
          <w:p w14:paraId="4775B7CD" w14:textId="77777777" w:rsidR="00A63340" w:rsidRPr="00EC63FC" w:rsidRDefault="00A63340" w:rsidP="00A63340">
            <w:pPr>
              <w:pStyle w:val="Paragraphedeliste"/>
              <w:numPr>
                <w:ilvl w:val="0"/>
                <w:numId w:val="24"/>
              </w:numPr>
              <w:jc w:val="both"/>
              <w:rPr>
                <w:rStyle w:val="Lienhypertexte"/>
                <w:rFonts w:asciiTheme="majorHAnsi" w:hAnsiTheme="majorHAnsi" w:cstheme="majorHAnsi"/>
                <w:color w:val="auto"/>
                <w:u w:val="none"/>
              </w:rPr>
            </w:pPr>
            <w:r w:rsidRPr="00EC63FC">
              <w:rPr>
                <w:rFonts w:asciiTheme="majorHAnsi" w:hAnsiTheme="majorHAnsi" w:cstheme="majorHAnsi"/>
                <w:i/>
                <w:iCs/>
                <w:color w:val="000000" w:themeColor="text1"/>
              </w:rPr>
              <w:t xml:space="preserve">Opinion case  ECJ, Gde. Ch., C-804/18 and C-341/19, 11/09/2018, IR c. JQ : </w:t>
            </w:r>
            <w:hyperlink r:id="rId9" w:history="1">
              <w:r w:rsidRPr="00EC63FC">
                <w:rPr>
                  <w:rStyle w:val="Lienhypertexte"/>
                  <w:rFonts w:asciiTheme="majorHAnsi" w:hAnsiTheme="majorHAnsi" w:cstheme="majorHAnsi"/>
                </w:rPr>
                <w:t>CURIA - Documents (europa.eu)</w:t>
              </w:r>
            </w:hyperlink>
          </w:p>
          <w:p w14:paraId="0A191C00" w14:textId="77777777" w:rsidR="00A63340" w:rsidRPr="00EC63FC" w:rsidRDefault="00A63340" w:rsidP="00A63340">
            <w:pPr>
              <w:pStyle w:val="Paragraphedeliste"/>
              <w:jc w:val="both"/>
              <w:rPr>
                <w:rFonts w:asciiTheme="majorHAnsi" w:hAnsiTheme="majorHAnsi" w:cstheme="majorHAnsi"/>
              </w:rPr>
            </w:pPr>
          </w:p>
          <w:p w14:paraId="0053EE64" w14:textId="77777777" w:rsidR="00A63340" w:rsidRPr="00EC63FC" w:rsidRDefault="00A63340" w:rsidP="00A63340">
            <w:pPr>
              <w:pStyle w:val="Paragraphedeliste"/>
              <w:numPr>
                <w:ilvl w:val="0"/>
                <w:numId w:val="24"/>
              </w:numPr>
              <w:jc w:val="both"/>
              <w:rPr>
                <w:rFonts w:asciiTheme="majorHAnsi" w:hAnsiTheme="majorHAnsi" w:cstheme="majorHAnsi"/>
                <w:lang w:val="fr-FR" w:eastAsia="fr-FR"/>
              </w:rPr>
            </w:pPr>
            <w:r w:rsidRPr="00EC63FC">
              <w:rPr>
                <w:rFonts w:asciiTheme="majorHAnsi" w:hAnsiTheme="majorHAnsi" w:cstheme="majorHAnsi"/>
                <w:i/>
                <w:iCs/>
                <w:lang w:val="fr-FR" w:eastAsia="fr-FR"/>
              </w:rPr>
              <w:t xml:space="preserve">La conciliation entre le principe de neutralité du service public et le droit de la non-discrimination religieuse : un acte manqué ? </w:t>
            </w:r>
            <w:r w:rsidRPr="00EC63FC">
              <w:rPr>
                <w:rFonts w:asciiTheme="majorHAnsi" w:hAnsiTheme="majorHAnsi" w:cstheme="majorHAnsi"/>
                <w:lang w:val="fr-FR" w:eastAsia="fr-FR"/>
              </w:rPr>
              <w:t xml:space="preserve">A. Husser, RDLF 2024 chron. n°08 : </w:t>
            </w:r>
            <w:hyperlink r:id="rId10" w:history="1">
              <w:r w:rsidRPr="00EC63FC">
                <w:rPr>
                  <w:rStyle w:val="Lienhypertexte"/>
                  <w:rFonts w:asciiTheme="majorHAnsi" w:hAnsiTheme="majorHAnsi" w:cstheme="majorHAnsi"/>
                  <w:lang w:val="fr-FR" w:eastAsia="fr-FR"/>
                </w:rPr>
                <w:t>Commentaire</w:t>
              </w:r>
            </w:hyperlink>
            <w:r w:rsidRPr="00EC63FC">
              <w:rPr>
                <w:rFonts w:asciiTheme="majorHAnsi" w:hAnsiTheme="majorHAnsi" w:cstheme="majorHAnsi"/>
                <w:lang w:val="fr-FR" w:eastAsia="fr-FR"/>
              </w:rPr>
              <w:t> par </w:t>
            </w:r>
            <w:hyperlink r:id="rId11" w:history="1">
              <w:r w:rsidRPr="00EC63FC">
                <w:rPr>
                  <w:rStyle w:val="Lienhypertexte"/>
                  <w:rFonts w:asciiTheme="majorHAnsi" w:hAnsiTheme="majorHAnsi" w:cstheme="majorHAnsi"/>
                  <w:lang w:val="fr-FR" w:eastAsia="fr-FR"/>
                </w:rPr>
                <w:t>Alexis Husser</w:t>
              </w:r>
            </w:hyperlink>
            <w:r w:rsidRPr="00EC63FC">
              <w:rPr>
                <w:rFonts w:asciiTheme="majorHAnsi" w:hAnsiTheme="majorHAnsi" w:cstheme="majorHAnsi"/>
                <w:lang w:val="fr-FR" w:eastAsia="fr-FR"/>
              </w:rPr>
              <w:t xml:space="preserve">,  </w:t>
            </w:r>
          </w:p>
          <w:p w14:paraId="2EED2342" w14:textId="77777777" w:rsidR="00A63340" w:rsidRPr="00EC63FC" w:rsidRDefault="00A63340" w:rsidP="00A63340">
            <w:pPr>
              <w:jc w:val="both"/>
              <w:rPr>
                <w:rFonts w:asciiTheme="majorHAnsi" w:eastAsia="Times New Roman" w:hAnsiTheme="majorHAnsi" w:cstheme="majorHAnsi"/>
                <w:color w:val="343D55"/>
                <w:kern w:val="0"/>
                <w:lang w:val="fr-FR" w:eastAsia="fr-FR"/>
                <w14:ligatures w14:val="none"/>
              </w:rPr>
            </w:pPr>
          </w:p>
          <w:p w14:paraId="5A6E65E8" w14:textId="77777777" w:rsidR="00A63340" w:rsidRPr="00EC63FC" w:rsidRDefault="00A63340" w:rsidP="00A63340">
            <w:pPr>
              <w:pStyle w:val="Paragraphedeliste"/>
              <w:numPr>
                <w:ilvl w:val="0"/>
                <w:numId w:val="24"/>
              </w:numPr>
              <w:jc w:val="both"/>
              <w:rPr>
                <w:rFonts w:asciiTheme="majorHAnsi" w:hAnsiTheme="majorHAnsi" w:cstheme="majorHAnsi"/>
                <w:color w:val="333333"/>
                <w:shd w:val="clear" w:color="auto" w:fill="FFFFFF"/>
                <w:lang w:val="fr-FR"/>
              </w:rPr>
            </w:pPr>
            <w:r w:rsidRPr="00EC63FC">
              <w:rPr>
                <w:rFonts w:asciiTheme="majorHAnsi" w:hAnsiTheme="majorHAnsi" w:cstheme="majorHAnsi"/>
                <w:color w:val="333333"/>
                <w:shd w:val="clear" w:color="auto" w:fill="FFFFFF"/>
                <w:lang w:val="fr-FR"/>
              </w:rPr>
              <w:t>Djelassi, R. Mertens, S. Wattier, « </w:t>
            </w:r>
            <w:r w:rsidRPr="00EC63FC">
              <w:rPr>
                <w:rFonts w:asciiTheme="majorHAnsi" w:hAnsiTheme="majorHAnsi" w:cstheme="majorHAnsi"/>
                <w:i/>
                <w:iCs/>
                <w:color w:val="333333"/>
                <w:shd w:val="clear" w:color="auto" w:fill="FFFFFF"/>
                <w:lang w:val="fr-FR"/>
              </w:rPr>
              <w:t>Principe de neutralité dans les enterprises privées: la Cour de justice étoffe sa jurisprudence relative à l’interdiction des signes religieux</w:t>
            </w:r>
            <w:r w:rsidRPr="00EC63FC">
              <w:rPr>
                <w:rFonts w:asciiTheme="majorHAnsi" w:hAnsiTheme="majorHAnsi" w:cstheme="majorHAnsi"/>
                <w:color w:val="333333"/>
                <w:shd w:val="clear" w:color="auto" w:fill="FFFFFF"/>
                <w:lang w:val="fr-FR"/>
              </w:rPr>
              <w:t> », </w:t>
            </w:r>
            <w:r w:rsidRPr="00EC63FC">
              <w:rPr>
                <w:rStyle w:val="Accentuation"/>
                <w:rFonts w:asciiTheme="majorHAnsi" w:hAnsiTheme="majorHAnsi" w:cstheme="majorHAnsi"/>
                <w:color w:val="333333"/>
                <w:shd w:val="clear" w:color="auto" w:fill="FFFFFF"/>
                <w:lang w:val="fr-FR"/>
              </w:rPr>
              <w:t>RTDH</w:t>
            </w:r>
            <w:r w:rsidRPr="00EC63FC">
              <w:rPr>
                <w:rFonts w:asciiTheme="majorHAnsi" w:hAnsiTheme="majorHAnsi" w:cstheme="majorHAnsi"/>
                <w:color w:val="333333"/>
                <w:shd w:val="clear" w:color="auto" w:fill="FFFFFF"/>
                <w:lang w:val="fr-FR"/>
              </w:rPr>
              <w:t>, 2022, n°130, pp. 383 et suiv.</w:t>
            </w:r>
          </w:p>
          <w:p w14:paraId="58484FB8" w14:textId="77777777" w:rsidR="00A63340" w:rsidRPr="00EC63FC" w:rsidRDefault="00A63340" w:rsidP="00A63340">
            <w:pPr>
              <w:jc w:val="both"/>
              <w:rPr>
                <w:rFonts w:asciiTheme="majorHAnsi" w:hAnsiTheme="majorHAnsi" w:cstheme="majorHAnsi"/>
                <w:color w:val="333333"/>
                <w:shd w:val="clear" w:color="auto" w:fill="FFFFFF"/>
                <w:lang w:val="fr-FR"/>
              </w:rPr>
            </w:pPr>
          </w:p>
          <w:p w14:paraId="692728E6" w14:textId="77777777" w:rsidR="00A63340" w:rsidRPr="00EC63FC" w:rsidRDefault="00A63340" w:rsidP="00A63340">
            <w:pPr>
              <w:pStyle w:val="Paragraphedeliste"/>
              <w:numPr>
                <w:ilvl w:val="0"/>
                <w:numId w:val="24"/>
              </w:numPr>
              <w:jc w:val="both"/>
              <w:rPr>
                <w:rFonts w:asciiTheme="majorHAnsi" w:eastAsia="Times New Roman" w:hAnsiTheme="majorHAnsi" w:cstheme="majorHAnsi"/>
                <w:color w:val="343D55"/>
                <w:kern w:val="0"/>
                <w:lang w:val="fr-FR" w:eastAsia="fr-FR"/>
                <w14:ligatures w14:val="none"/>
              </w:rPr>
            </w:pPr>
            <w:r w:rsidRPr="00EC63FC">
              <w:rPr>
                <w:rFonts w:asciiTheme="majorHAnsi" w:eastAsia="Times New Roman" w:hAnsiTheme="majorHAnsi" w:cstheme="majorHAnsi"/>
                <w:color w:val="343D55"/>
                <w:kern w:val="0"/>
                <w:lang w:val="fr-FR" w:eastAsia="fr-FR"/>
                <w14:ligatures w14:val="none"/>
              </w:rPr>
              <w:t xml:space="preserve">G. Gonzalez, </w:t>
            </w:r>
            <w:r w:rsidRPr="00EC63FC">
              <w:rPr>
                <w:rFonts w:asciiTheme="majorHAnsi" w:eastAsia="Times New Roman" w:hAnsiTheme="majorHAnsi" w:cstheme="majorHAnsi"/>
                <w:i/>
                <w:iCs/>
                <w:color w:val="343D55"/>
                <w:kern w:val="0"/>
                <w:lang w:val="fr-FR" w:eastAsia="fr-FR"/>
                <w14:ligatures w14:val="none"/>
              </w:rPr>
              <w:t>La liberté de religion à l’épreuve de la jurisprudence de la Cour de justice de l’Union européenne</w:t>
            </w:r>
            <w:r w:rsidRPr="00EC63FC">
              <w:rPr>
                <w:rFonts w:asciiTheme="majorHAnsi" w:eastAsia="Times New Roman" w:hAnsiTheme="majorHAnsi" w:cstheme="majorHAnsi"/>
                <w:color w:val="343D55"/>
                <w:kern w:val="0"/>
                <w:lang w:val="fr-FR" w:eastAsia="fr-FR"/>
                <w14:ligatures w14:val="none"/>
              </w:rPr>
              <w:t>, Rev. trim. dr. h., 2020, pp. 103-120</w:t>
            </w:r>
          </w:p>
          <w:p w14:paraId="1E58DE57" w14:textId="77777777" w:rsidR="00A63340" w:rsidRPr="00EC63FC" w:rsidRDefault="00A63340" w:rsidP="00A63340">
            <w:pPr>
              <w:pStyle w:val="Paragraphedeliste"/>
              <w:rPr>
                <w:rFonts w:asciiTheme="majorHAnsi" w:hAnsiTheme="majorHAnsi" w:cstheme="majorHAnsi"/>
                <w:color w:val="000000" w:themeColor="text1"/>
                <w:lang w:val="fr-FR"/>
              </w:rPr>
            </w:pPr>
          </w:p>
          <w:p w14:paraId="7DD3F548" w14:textId="525680D4" w:rsidR="00A63340" w:rsidRPr="009F095C" w:rsidRDefault="00A63340" w:rsidP="00A63340">
            <w:pPr>
              <w:rPr>
                <w:rFonts w:asciiTheme="majorHAnsi" w:hAnsiTheme="majorHAnsi" w:cstheme="majorHAnsi"/>
                <w:i/>
                <w:iCs/>
                <w:color w:val="000000" w:themeColor="text1"/>
                <w:lang w:val="en-US"/>
              </w:rPr>
            </w:pPr>
            <w:r w:rsidRPr="00EC63FC">
              <w:rPr>
                <w:rFonts w:asciiTheme="majorHAnsi" w:hAnsiTheme="majorHAnsi" w:cstheme="majorHAnsi"/>
                <w:color w:val="000000" w:themeColor="text1"/>
                <w:lang w:val="fr-FR"/>
              </w:rPr>
              <w:t>G. Gonzalez</w:t>
            </w:r>
            <w:r w:rsidRPr="00EC63FC">
              <w:rPr>
                <w:rFonts w:asciiTheme="majorHAnsi" w:hAnsiTheme="majorHAnsi" w:cstheme="majorHAnsi"/>
                <w:i/>
                <w:iCs/>
                <w:color w:val="000000" w:themeColor="text1"/>
                <w:lang w:val="fr-FR"/>
              </w:rPr>
              <w:t>, “Article 10 Liberté de pensée, de conscience et de religion</w:t>
            </w:r>
            <w:r w:rsidRPr="00EC63FC">
              <w:rPr>
                <w:rFonts w:asciiTheme="majorHAnsi" w:hAnsiTheme="majorHAnsi" w:cstheme="majorHAnsi"/>
                <w:color w:val="000000" w:themeColor="text1"/>
                <w:lang w:val="fr-FR"/>
              </w:rPr>
              <w:t>”, in Charte des droits fondamentaux de l’Union européennne commentaire article par article, 3ème ed., dir. F. Picod, C. Rizcallah et S. Van Drooghenbroeck, Bruylant , p. 271 et s.</w:t>
            </w:r>
          </w:p>
          <w:p w14:paraId="0DA5C5C2" w14:textId="460E5A0E" w:rsidR="00A63340" w:rsidRPr="009F095C" w:rsidRDefault="00A63340" w:rsidP="00A63340">
            <w:pPr>
              <w:rPr>
                <w:rFonts w:asciiTheme="majorHAnsi" w:hAnsiTheme="majorHAnsi" w:cstheme="majorHAnsi"/>
                <w:i/>
                <w:iCs/>
                <w:color w:val="000000" w:themeColor="text1"/>
                <w:lang w:val="en-US"/>
              </w:rPr>
            </w:pPr>
          </w:p>
        </w:tc>
      </w:tr>
    </w:tbl>
    <w:p w14:paraId="4967EA04" w14:textId="77777777" w:rsidR="00CA5340" w:rsidRDefault="00CA5340">
      <w:pPr>
        <w:rPr>
          <w:rFonts w:ascii="Calibri" w:hAnsi="Calibri" w:cs="Calibri"/>
          <w:sz w:val="22"/>
          <w:szCs w:val="22"/>
          <w:lang w:val="en-US"/>
        </w:rPr>
      </w:pPr>
    </w:p>
    <w:sectPr w:rsidR="00CA5340" w:rsidSect="00DC53A0">
      <w:headerReference w:type="default" r:id="rId12"/>
      <w:pgSz w:w="11906" w:h="16838"/>
      <w:pgMar w:top="1418" w:right="1701" w:bottom="103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84EE6" w14:textId="77777777" w:rsidR="009F095C" w:rsidRDefault="009F095C" w:rsidP="009F095C">
      <w:r>
        <w:separator/>
      </w:r>
    </w:p>
  </w:endnote>
  <w:endnote w:type="continuationSeparator" w:id="0">
    <w:p w14:paraId="2755F8AF" w14:textId="77777777" w:rsidR="009F095C" w:rsidRDefault="009F095C" w:rsidP="009F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84EE" w14:textId="77777777" w:rsidR="009F095C" w:rsidRDefault="009F095C" w:rsidP="009F095C">
      <w:r>
        <w:separator/>
      </w:r>
    </w:p>
  </w:footnote>
  <w:footnote w:type="continuationSeparator" w:id="0">
    <w:p w14:paraId="2AE3521F" w14:textId="77777777" w:rsidR="009F095C" w:rsidRDefault="009F095C" w:rsidP="009F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63A0F" w14:textId="13ECA210" w:rsidR="00711C0F" w:rsidRDefault="00711C0F">
    <w:pPr>
      <w:pStyle w:val="En-tte"/>
    </w:pPr>
    <w:r>
      <w:rPr>
        <w:rFonts w:ascii="Calibri" w:hAnsi="Calibri" w:cs="Calibri"/>
        <w:b/>
        <w:bCs/>
        <w:noProof/>
        <w:lang w:val="en-US"/>
      </w:rPr>
      <w:drawing>
        <wp:anchor distT="0" distB="0" distL="114300" distR="114300" simplePos="0" relativeHeight="251659264" behindDoc="1" locked="0" layoutInCell="1" allowOverlap="1" wp14:anchorId="7811FFF3" wp14:editId="712A0B45">
          <wp:simplePos x="0" y="0"/>
          <wp:positionH relativeFrom="page">
            <wp:align>left</wp:align>
          </wp:positionH>
          <wp:positionV relativeFrom="paragraph">
            <wp:posOffset>-1356469</wp:posOffset>
          </wp:positionV>
          <wp:extent cx="7558500" cy="1797269"/>
          <wp:effectExtent l="0" t="0" r="4445" b="0"/>
          <wp:wrapNone/>
          <wp:docPr id="847529213"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EC4377E"/>
    <w:multiLevelType w:val="multilevel"/>
    <w:tmpl w:val="3800E3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C617D5"/>
    <w:multiLevelType w:val="hybridMultilevel"/>
    <w:tmpl w:val="FE7C9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1011E3"/>
    <w:multiLevelType w:val="hybridMultilevel"/>
    <w:tmpl w:val="AB5A4FB4"/>
    <w:lvl w:ilvl="0" w:tplc="7F660906">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17CC1C58"/>
    <w:multiLevelType w:val="multilevel"/>
    <w:tmpl w:val="4A589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895B42"/>
    <w:multiLevelType w:val="multilevel"/>
    <w:tmpl w:val="6C4CF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D73FBB"/>
    <w:multiLevelType w:val="hybridMultilevel"/>
    <w:tmpl w:val="5D7004E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E20DBB"/>
    <w:multiLevelType w:val="multilevel"/>
    <w:tmpl w:val="E71EE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25473F"/>
    <w:multiLevelType w:val="multilevel"/>
    <w:tmpl w:val="FCF4E7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DF0BF9"/>
    <w:multiLevelType w:val="hybridMultilevel"/>
    <w:tmpl w:val="DFD213C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32565825"/>
    <w:multiLevelType w:val="multilevel"/>
    <w:tmpl w:val="7EA63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34682885"/>
    <w:multiLevelType w:val="multilevel"/>
    <w:tmpl w:val="4B5A2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A259F5"/>
    <w:multiLevelType w:val="hybridMultilevel"/>
    <w:tmpl w:val="C7EA0DD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424B7A57"/>
    <w:multiLevelType w:val="hybridMultilevel"/>
    <w:tmpl w:val="7C460BE6"/>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4F4F53E0"/>
    <w:multiLevelType w:val="hybridMultilevel"/>
    <w:tmpl w:val="4C966ED8"/>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5A7D317C"/>
    <w:multiLevelType w:val="hybridMultilevel"/>
    <w:tmpl w:val="A964F7A8"/>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6B295319"/>
    <w:multiLevelType w:val="hybridMultilevel"/>
    <w:tmpl w:val="9B0EF2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712E4899"/>
    <w:multiLevelType w:val="multilevel"/>
    <w:tmpl w:val="D4DA5F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1931999">
    <w:abstractNumId w:val="18"/>
  </w:num>
  <w:num w:numId="2" w16cid:durableId="75979654">
    <w:abstractNumId w:val="20"/>
  </w:num>
  <w:num w:numId="3" w16cid:durableId="1904831463">
    <w:abstractNumId w:val="0"/>
  </w:num>
  <w:num w:numId="4" w16cid:durableId="1503398700">
    <w:abstractNumId w:val="16"/>
  </w:num>
  <w:num w:numId="5" w16cid:durableId="1035890506">
    <w:abstractNumId w:val="14"/>
  </w:num>
  <w:num w:numId="6" w16cid:durableId="1804224680">
    <w:abstractNumId w:val="11"/>
  </w:num>
  <w:num w:numId="7" w16cid:durableId="2060200701">
    <w:abstractNumId w:val="21"/>
  </w:num>
  <w:num w:numId="8" w16cid:durableId="260378364">
    <w:abstractNumId w:val="9"/>
  </w:num>
  <w:num w:numId="9" w16cid:durableId="107169521">
    <w:abstractNumId w:val="22"/>
  </w:num>
  <w:num w:numId="10" w16cid:durableId="2117289083">
    <w:abstractNumId w:val="15"/>
  </w:num>
  <w:num w:numId="11" w16cid:durableId="1042285177">
    <w:abstractNumId w:val="19"/>
  </w:num>
  <w:num w:numId="12" w16cid:durableId="413472436">
    <w:abstractNumId w:val="13"/>
  </w:num>
  <w:num w:numId="13" w16cid:durableId="1990789623">
    <w:abstractNumId w:val="5"/>
  </w:num>
  <w:num w:numId="14" w16cid:durableId="1049305517">
    <w:abstractNumId w:val="23"/>
  </w:num>
  <w:num w:numId="15" w16cid:durableId="325205896">
    <w:abstractNumId w:val="7"/>
  </w:num>
  <w:num w:numId="16" w16cid:durableId="747115462">
    <w:abstractNumId w:val="1"/>
  </w:num>
  <w:num w:numId="17" w16cid:durableId="920524285">
    <w:abstractNumId w:val="3"/>
  </w:num>
  <w:num w:numId="18" w16cid:durableId="24523652">
    <w:abstractNumId w:val="17"/>
  </w:num>
  <w:num w:numId="19" w16cid:durableId="1862010166">
    <w:abstractNumId w:val="6"/>
  </w:num>
  <w:num w:numId="20" w16cid:durableId="1727798117">
    <w:abstractNumId w:val="8"/>
  </w:num>
  <w:num w:numId="21" w16cid:durableId="137307819">
    <w:abstractNumId w:val="10"/>
  </w:num>
  <w:num w:numId="22" w16cid:durableId="230847626">
    <w:abstractNumId w:val="4"/>
  </w:num>
  <w:num w:numId="23" w16cid:durableId="1701856310">
    <w:abstractNumId w:val="12"/>
  </w:num>
  <w:num w:numId="24" w16cid:durableId="4302481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0" w:nlCheck="1" w:checkStyle="0"/>
  <w:activeWritingStyle w:appName="MSWord" w:lang="es-ES" w:vendorID="64" w:dllVersion="0" w:nlCheck="1" w:checkStyle="0"/>
  <w:activeWritingStyle w:appName="MSWord" w:lang="nl-NL" w:vendorID="64" w:dllVersion="0"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53B"/>
    <w:rsid w:val="0002543F"/>
    <w:rsid w:val="00032E76"/>
    <w:rsid w:val="000671B0"/>
    <w:rsid w:val="00071D94"/>
    <w:rsid w:val="000808E3"/>
    <w:rsid w:val="000969B1"/>
    <w:rsid w:val="000C3116"/>
    <w:rsid w:val="000C338A"/>
    <w:rsid w:val="000D5EDC"/>
    <w:rsid w:val="000E3179"/>
    <w:rsid w:val="000F2478"/>
    <w:rsid w:val="00125C2F"/>
    <w:rsid w:val="00131343"/>
    <w:rsid w:val="001331B6"/>
    <w:rsid w:val="00175D12"/>
    <w:rsid w:val="00185ED2"/>
    <w:rsid w:val="001B1D88"/>
    <w:rsid w:val="00254F16"/>
    <w:rsid w:val="00265CD7"/>
    <w:rsid w:val="002A06C2"/>
    <w:rsid w:val="002B04E0"/>
    <w:rsid w:val="002D4E51"/>
    <w:rsid w:val="002D7EFC"/>
    <w:rsid w:val="002E2D27"/>
    <w:rsid w:val="002E55BA"/>
    <w:rsid w:val="002F6B2D"/>
    <w:rsid w:val="0033291B"/>
    <w:rsid w:val="00334A12"/>
    <w:rsid w:val="00390CC1"/>
    <w:rsid w:val="003A537F"/>
    <w:rsid w:val="003C4CA4"/>
    <w:rsid w:val="00412D4C"/>
    <w:rsid w:val="004B1205"/>
    <w:rsid w:val="004B653B"/>
    <w:rsid w:val="00530078"/>
    <w:rsid w:val="00535429"/>
    <w:rsid w:val="00552F47"/>
    <w:rsid w:val="005632E1"/>
    <w:rsid w:val="00593085"/>
    <w:rsid w:val="005E4B1D"/>
    <w:rsid w:val="005F3A64"/>
    <w:rsid w:val="0067453B"/>
    <w:rsid w:val="006C20DF"/>
    <w:rsid w:val="006C502E"/>
    <w:rsid w:val="006D49A7"/>
    <w:rsid w:val="006E2B14"/>
    <w:rsid w:val="007079C1"/>
    <w:rsid w:val="00711C0F"/>
    <w:rsid w:val="00713D75"/>
    <w:rsid w:val="007329D3"/>
    <w:rsid w:val="00750965"/>
    <w:rsid w:val="0078544C"/>
    <w:rsid w:val="007B4007"/>
    <w:rsid w:val="007F47B5"/>
    <w:rsid w:val="008208D6"/>
    <w:rsid w:val="008266E0"/>
    <w:rsid w:val="00846E73"/>
    <w:rsid w:val="00873CA7"/>
    <w:rsid w:val="00895DB6"/>
    <w:rsid w:val="00895E65"/>
    <w:rsid w:val="008E2D64"/>
    <w:rsid w:val="0095779A"/>
    <w:rsid w:val="009A20BD"/>
    <w:rsid w:val="009B2955"/>
    <w:rsid w:val="009B53E5"/>
    <w:rsid w:val="009D4AC1"/>
    <w:rsid w:val="009F095C"/>
    <w:rsid w:val="00A24803"/>
    <w:rsid w:val="00A40F02"/>
    <w:rsid w:val="00A42F8F"/>
    <w:rsid w:val="00A57918"/>
    <w:rsid w:val="00A63340"/>
    <w:rsid w:val="00A83505"/>
    <w:rsid w:val="00AC352A"/>
    <w:rsid w:val="00AD347A"/>
    <w:rsid w:val="00AD7371"/>
    <w:rsid w:val="00AF1C04"/>
    <w:rsid w:val="00B02EDB"/>
    <w:rsid w:val="00B135BF"/>
    <w:rsid w:val="00B24B22"/>
    <w:rsid w:val="00B436EB"/>
    <w:rsid w:val="00B55EE2"/>
    <w:rsid w:val="00B640B4"/>
    <w:rsid w:val="00C51A5B"/>
    <w:rsid w:val="00C71D38"/>
    <w:rsid w:val="00C75647"/>
    <w:rsid w:val="00C85CB5"/>
    <w:rsid w:val="00CA5340"/>
    <w:rsid w:val="00CC124C"/>
    <w:rsid w:val="00CD3B67"/>
    <w:rsid w:val="00D350C4"/>
    <w:rsid w:val="00D836DD"/>
    <w:rsid w:val="00DC4BE8"/>
    <w:rsid w:val="00DC53A0"/>
    <w:rsid w:val="00DC551B"/>
    <w:rsid w:val="00DE0388"/>
    <w:rsid w:val="00E53B97"/>
    <w:rsid w:val="00E61AE4"/>
    <w:rsid w:val="00E70C7C"/>
    <w:rsid w:val="00E84AF0"/>
    <w:rsid w:val="00EB0AE4"/>
    <w:rsid w:val="00F13902"/>
    <w:rsid w:val="00F31726"/>
    <w:rsid w:val="00F364A9"/>
    <w:rsid w:val="00F44A11"/>
    <w:rsid w:val="00F46745"/>
    <w:rsid w:val="00F71601"/>
    <w:rsid w:val="00FE62A0"/>
    <w:rsid w:val="00FF3B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2D1AC9F"/>
  <w15:chartTrackingRefBased/>
  <w15:docId w15:val="{A0CD137F-7EC2-4A49-AAAE-8FF7227E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7453B"/>
    <w:pPr>
      <w:spacing w:before="100" w:beforeAutospacing="1" w:after="100" w:afterAutospacing="1"/>
    </w:pPr>
    <w:rPr>
      <w:rFonts w:ascii="Times New Roman" w:eastAsia="Times New Roman" w:hAnsi="Times New Roman" w:cs="Times New Roman"/>
      <w:kern w:val="0"/>
      <w:lang w:eastAsia="es-ES_tradnl"/>
      <w14:ligatures w14:val="none"/>
    </w:rPr>
  </w:style>
  <w:style w:type="table" w:styleId="Grilledutableau">
    <w:name w:val="Table Grid"/>
    <w:basedOn w:val="TableauNormal"/>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C502E"/>
    <w:pPr>
      <w:ind w:left="720"/>
      <w:contextualSpacing/>
    </w:pPr>
  </w:style>
  <w:style w:type="character" w:customStyle="1" w:styleId="ui-provider">
    <w:name w:val="ui-provider"/>
    <w:basedOn w:val="Policepardfaut"/>
    <w:rsid w:val="001B1D88"/>
  </w:style>
  <w:style w:type="character" w:styleId="Lienhypertexte">
    <w:name w:val="Hyperlink"/>
    <w:basedOn w:val="Policepardfaut"/>
    <w:uiPriority w:val="99"/>
    <w:unhideWhenUsed/>
    <w:rsid w:val="001B1D88"/>
    <w:rPr>
      <w:color w:val="0000FF"/>
      <w:u w:val="single"/>
    </w:rPr>
  </w:style>
  <w:style w:type="character" w:customStyle="1" w:styleId="Mentionnonrsolue1">
    <w:name w:val="Mention non résolue1"/>
    <w:basedOn w:val="Policepardfaut"/>
    <w:uiPriority w:val="99"/>
    <w:semiHidden/>
    <w:unhideWhenUsed/>
    <w:rsid w:val="00F31726"/>
    <w:rPr>
      <w:color w:val="605E5C"/>
      <w:shd w:val="clear" w:color="auto" w:fill="E1DFDD"/>
    </w:rPr>
  </w:style>
  <w:style w:type="character" w:styleId="Lienhypertextesuivivisit">
    <w:name w:val="FollowedHyperlink"/>
    <w:basedOn w:val="Policepardfaut"/>
    <w:uiPriority w:val="99"/>
    <w:semiHidden/>
    <w:unhideWhenUsed/>
    <w:rsid w:val="00F31726"/>
    <w:rPr>
      <w:color w:val="954F72" w:themeColor="followedHyperlink"/>
      <w:u w:val="single"/>
    </w:rPr>
  </w:style>
  <w:style w:type="paragraph" w:styleId="PrformatHTML">
    <w:name w:val="HTML Preformatted"/>
    <w:basedOn w:val="Normal"/>
    <w:link w:val="PrformatHTMLCar"/>
    <w:uiPriority w:val="99"/>
    <w:unhideWhenUsed/>
    <w:rsid w:val="006C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es-ES_tradnl"/>
      <w14:ligatures w14:val="none"/>
    </w:rPr>
  </w:style>
  <w:style w:type="character" w:customStyle="1" w:styleId="PrformatHTMLCar">
    <w:name w:val="Préformaté HTML Car"/>
    <w:basedOn w:val="Policepardfaut"/>
    <w:link w:val="PrformatHTML"/>
    <w:uiPriority w:val="99"/>
    <w:rsid w:val="006C20DF"/>
    <w:rPr>
      <w:rFonts w:ascii="Courier New" w:eastAsia="Times New Roman" w:hAnsi="Courier New" w:cs="Courier New"/>
      <w:kern w:val="0"/>
      <w:sz w:val="20"/>
      <w:szCs w:val="20"/>
      <w:lang w:eastAsia="es-ES_tradnl"/>
      <w14:ligatures w14:val="none"/>
    </w:rPr>
  </w:style>
  <w:style w:type="character" w:customStyle="1" w:styleId="y2iqfc">
    <w:name w:val="y2iqfc"/>
    <w:basedOn w:val="Policepardfaut"/>
    <w:rsid w:val="006C20DF"/>
  </w:style>
  <w:style w:type="character" w:customStyle="1" w:styleId="outputecliaff">
    <w:name w:val="outputecliaff"/>
    <w:basedOn w:val="Policepardfaut"/>
    <w:rsid w:val="00AF1C04"/>
  </w:style>
  <w:style w:type="character" w:customStyle="1" w:styleId="field-content">
    <w:name w:val="field-content"/>
    <w:basedOn w:val="Policepardfaut"/>
    <w:rsid w:val="00EB0AE4"/>
  </w:style>
  <w:style w:type="character" w:styleId="Marquedecommentaire">
    <w:name w:val="annotation reference"/>
    <w:basedOn w:val="Policepardfaut"/>
    <w:uiPriority w:val="99"/>
    <w:semiHidden/>
    <w:unhideWhenUsed/>
    <w:rsid w:val="00895DB6"/>
    <w:rPr>
      <w:sz w:val="16"/>
      <w:szCs w:val="16"/>
    </w:rPr>
  </w:style>
  <w:style w:type="paragraph" w:styleId="Commentaire">
    <w:name w:val="annotation text"/>
    <w:basedOn w:val="Normal"/>
    <w:link w:val="CommentaireCar"/>
    <w:uiPriority w:val="99"/>
    <w:unhideWhenUsed/>
    <w:rsid w:val="00895DB6"/>
    <w:rPr>
      <w:sz w:val="20"/>
      <w:szCs w:val="20"/>
    </w:rPr>
  </w:style>
  <w:style w:type="character" w:customStyle="1" w:styleId="CommentaireCar">
    <w:name w:val="Commentaire Car"/>
    <w:basedOn w:val="Policepardfaut"/>
    <w:link w:val="Commentaire"/>
    <w:uiPriority w:val="99"/>
    <w:rsid w:val="00895DB6"/>
    <w:rPr>
      <w:sz w:val="20"/>
      <w:szCs w:val="20"/>
    </w:rPr>
  </w:style>
  <w:style w:type="paragraph" w:styleId="Objetducommentaire">
    <w:name w:val="annotation subject"/>
    <w:basedOn w:val="Commentaire"/>
    <w:next w:val="Commentaire"/>
    <w:link w:val="ObjetducommentaireCar"/>
    <w:uiPriority w:val="99"/>
    <w:semiHidden/>
    <w:unhideWhenUsed/>
    <w:rsid w:val="00895DB6"/>
    <w:rPr>
      <w:b/>
      <w:bCs/>
    </w:rPr>
  </w:style>
  <w:style w:type="character" w:customStyle="1" w:styleId="ObjetducommentaireCar">
    <w:name w:val="Objet du commentaire Car"/>
    <w:basedOn w:val="CommentaireCar"/>
    <w:link w:val="Objetducommentaire"/>
    <w:uiPriority w:val="99"/>
    <w:semiHidden/>
    <w:rsid w:val="00895DB6"/>
    <w:rPr>
      <w:b/>
      <w:bCs/>
      <w:sz w:val="20"/>
      <w:szCs w:val="20"/>
    </w:rPr>
  </w:style>
  <w:style w:type="paragraph" w:styleId="Rvision">
    <w:name w:val="Revision"/>
    <w:hidden/>
    <w:uiPriority w:val="99"/>
    <w:semiHidden/>
    <w:rsid w:val="00895DB6"/>
  </w:style>
  <w:style w:type="paragraph" w:styleId="Textedebulles">
    <w:name w:val="Balloon Text"/>
    <w:basedOn w:val="Normal"/>
    <w:link w:val="TextedebullesCar"/>
    <w:uiPriority w:val="99"/>
    <w:semiHidden/>
    <w:unhideWhenUsed/>
    <w:rsid w:val="006E2B14"/>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2B14"/>
    <w:rPr>
      <w:rFonts w:ascii="Segoe UI" w:hAnsi="Segoe UI" w:cs="Segoe UI"/>
      <w:sz w:val="18"/>
      <w:szCs w:val="18"/>
    </w:rPr>
  </w:style>
  <w:style w:type="paragraph" w:styleId="En-tte">
    <w:name w:val="header"/>
    <w:basedOn w:val="Normal"/>
    <w:link w:val="En-tteCar"/>
    <w:uiPriority w:val="99"/>
    <w:unhideWhenUsed/>
    <w:rsid w:val="009F095C"/>
    <w:pPr>
      <w:tabs>
        <w:tab w:val="center" w:pos="4536"/>
        <w:tab w:val="right" w:pos="9072"/>
      </w:tabs>
    </w:pPr>
  </w:style>
  <w:style w:type="character" w:customStyle="1" w:styleId="En-tteCar">
    <w:name w:val="En-tête Car"/>
    <w:basedOn w:val="Policepardfaut"/>
    <w:link w:val="En-tte"/>
    <w:uiPriority w:val="99"/>
    <w:rsid w:val="009F095C"/>
  </w:style>
  <w:style w:type="paragraph" w:styleId="Pieddepage">
    <w:name w:val="footer"/>
    <w:basedOn w:val="Normal"/>
    <w:link w:val="PieddepageCar"/>
    <w:uiPriority w:val="99"/>
    <w:unhideWhenUsed/>
    <w:rsid w:val="009F095C"/>
    <w:pPr>
      <w:tabs>
        <w:tab w:val="center" w:pos="4536"/>
        <w:tab w:val="right" w:pos="9072"/>
      </w:tabs>
    </w:pPr>
  </w:style>
  <w:style w:type="character" w:customStyle="1" w:styleId="PieddepageCar">
    <w:name w:val="Pied de page Car"/>
    <w:basedOn w:val="Policepardfaut"/>
    <w:link w:val="Pieddepage"/>
    <w:uiPriority w:val="99"/>
    <w:rsid w:val="009F095C"/>
  </w:style>
  <w:style w:type="character" w:styleId="Accentuation">
    <w:name w:val="Emphasis"/>
    <w:basedOn w:val="Policepardfaut"/>
    <w:uiPriority w:val="20"/>
    <w:qFormat/>
    <w:rsid w:val="00A633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0679">
      <w:bodyDiv w:val="1"/>
      <w:marLeft w:val="0"/>
      <w:marRight w:val="0"/>
      <w:marTop w:val="0"/>
      <w:marBottom w:val="0"/>
      <w:divBdr>
        <w:top w:val="none" w:sz="0" w:space="0" w:color="auto"/>
        <w:left w:val="none" w:sz="0" w:space="0" w:color="auto"/>
        <w:bottom w:val="none" w:sz="0" w:space="0" w:color="auto"/>
        <w:right w:val="none" w:sz="0" w:space="0" w:color="auto"/>
      </w:divBdr>
      <w:divsChild>
        <w:div w:id="1275135033">
          <w:marLeft w:val="0"/>
          <w:marRight w:val="0"/>
          <w:marTop w:val="0"/>
          <w:marBottom w:val="0"/>
          <w:divBdr>
            <w:top w:val="none" w:sz="0" w:space="0" w:color="auto"/>
            <w:left w:val="none" w:sz="0" w:space="0" w:color="auto"/>
            <w:bottom w:val="none" w:sz="0" w:space="0" w:color="auto"/>
            <w:right w:val="none" w:sz="0" w:space="0" w:color="auto"/>
          </w:divBdr>
          <w:divsChild>
            <w:div w:id="2001540139">
              <w:marLeft w:val="0"/>
              <w:marRight w:val="0"/>
              <w:marTop w:val="0"/>
              <w:marBottom w:val="0"/>
              <w:divBdr>
                <w:top w:val="none" w:sz="0" w:space="0" w:color="auto"/>
                <w:left w:val="none" w:sz="0" w:space="0" w:color="auto"/>
                <w:bottom w:val="none" w:sz="0" w:space="0" w:color="auto"/>
                <w:right w:val="none" w:sz="0" w:space="0" w:color="auto"/>
              </w:divBdr>
              <w:divsChild>
                <w:div w:id="233392065">
                  <w:marLeft w:val="0"/>
                  <w:marRight w:val="0"/>
                  <w:marTop w:val="0"/>
                  <w:marBottom w:val="0"/>
                  <w:divBdr>
                    <w:top w:val="none" w:sz="0" w:space="0" w:color="auto"/>
                    <w:left w:val="none" w:sz="0" w:space="0" w:color="auto"/>
                    <w:bottom w:val="none" w:sz="0" w:space="0" w:color="auto"/>
                    <w:right w:val="none" w:sz="0" w:space="0" w:color="auto"/>
                  </w:divBdr>
                </w:div>
                <w:div w:id="14435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2452">
      <w:bodyDiv w:val="1"/>
      <w:marLeft w:val="0"/>
      <w:marRight w:val="0"/>
      <w:marTop w:val="0"/>
      <w:marBottom w:val="0"/>
      <w:divBdr>
        <w:top w:val="none" w:sz="0" w:space="0" w:color="auto"/>
        <w:left w:val="none" w:sz="0" w:space="0" w:color="auto"/>
        <w:bottom w:val="none" w:sz="0" w:space="0" w:color="auto"/>
        <w:right w:val="none" w:sz="0" w:space="0" w:color="auto"/>
      </w:divBdr>
      <w:divsChild>
        <w:div w:id="819541476">
          <w:marLeft w:val="0"/>
          <w:marRight w:val="0"/>
          <w:marTop w:val="0"/>
          <w:marBottom w:val="0"/>
          <w:divBdr>
            <w:top w:val="none" w:sz="0" w:space="0" w:color="auto"/>
            <w:left w:val="none" w:sz="0" w:space="0" w:color="auto"/>
            <w:bottom w:val="none" w:sz="0" w:space="0" w:color="auto"/>
            <w:right w:val="none" w:sz="0" w:space="0" w:color="auto"/>
          </w:divBdr>
          <w:divsChild>
            <w:div w:id="564878801">
              <w:marLeft w:val="0"/>
              <w:marRight w:val="0"/>
              <w:marTop w:val="0"/>
              <w:marBottom w:val="0"/>
              <w:divBdr>
                <w:top w:val="none" w:sz="0" w:space="0" w:color="auto"/>
                <w:left w:val="none" w:sz="0" w:space="0" w:color="auto"/>
                <w:bottom w:val="none" w:sz="0" w:space="0" w:color="auto"/>
                <w:right w:val="none" w:sz="0" w:space="0" w:color="auto"/>
              </w:divBdr>
              <w:divsChild>
                <w:div w:id="373620760">
                  <w:marLeft w:val="0"/>
                  <w:marRight w:val="0"/>
                  <w:marTop w:val="0"/>
                  <w:marBottom w:val="0"/>
                  <w:divBdr>
                    <w:top w:val="none" w:sz="0" w:space="0" w:color="auto"/>
                    <w:left w:val="none" w:sz="0" w:space="0" w:color="auto"/>
                    <w:bottom w:val="none" w:sz="0" w:space="0" w:color="auto"/>
                    <w:right w:val="none" w:sz="0" w:space="0" w:color="auto"/>
                  </w:divBdr>
                </w:div>
              </w:divsChild>
            </w:div>
            <w:div w:id="694232970">
              <w:marLeft w:val="0"/>
              <w:marRight w:val="0"/>
              <w:marTop w:val="0"/>
              <w:marBottom w:val="0"/>
              <w:divBdr>
                <w:top w:val="none" w:sz="0" w:space="0" w:color="auto"/>
                <w:left w:val="none" w:sz="0" w:space="0" w:color="auto"/>
                <w:bottom w:val="none" w:sz="0" w:space="0" w:color="auto"/>
                <w:right w:val="none" w:sz="0" w:space="0" w:color="auto"/>
              </w:divBdr>
              <w:divsChild>
                <w:div w:id="400182525">
                  <w:marLeft w:val="0"/>
                  <w:marRight w:val="0"/>
                  <w:marTop w:val="0"/>
                  <w:marBottom w:val="0"/>
                  <w:divBdr>
                    <w:top w:val="none" w:sz="0" w:space="0" w:color="auto"/>
                    <w:left w:val="none" w:sz="0" w:space="0" w:color="auto"/>
                    <w:bottom w:val="none" w:sz="0" w:space="0" w:color="auto"/>
                    <w:right w:val="none" w:sz="0" w:space="0" w:color="auto"/>
                  </w:divBdr>
                  <w:divsChild>
                    <w:div w:id="10223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4395">
              <w:marLeft w:val="0"/>
              <w:marRight w:val="0"/>
              <w:marTop w:val="0"/>
              <w:marBottom w:val="0"/>
              <w:divBdr>
                <w:top w:val="none" w:sz="0" w:space="0" w:color="auto"/>
                <w:left w:val="none" w:sz="0" w:space="0" w:color="auto"/>
                <w:bottom w:val="none" w:sz="0" w:space="0" w:color="auto"/>
                <w:right w:val="none" w:sz="0" w:space="0" w:color="auto"/>
              </w:divBdr>
              <w:divsChild>
                <w:div w:id="169626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6620">
      <w:bodyDiv w:val="1"/>
      <w:marLeft w:val="0"/>
      <w:marRight w:val="0"/>
      <w:marTop w:val="0"/>
      <w:marBottom w:val="0"/>
      <w:divBdr>
        <w:top w:val="none" w:sz="0" w:space="0" w:color="auto"/>
        <w:left w:val="none" w:sz="0" w:space="0" w:color="auto"/>
        <w:bottom w:val="none" w:sz="0" w:space="0" w:color="auto"/>
        <w:right w:val="none" w:sz="0" w:space="0" w:color="auto"/>
      </w:divBdr>
    </w:div>
    <w:div w:id="258569339">
      <w:bodyDiv w:val="1"/>
      <w:marLeft w:val="0"/>
      <w:marRight w:val="0"/>
      <w:marTop w:val="0"/>
      <w:marBottom w:val="0"/>
      <w:divBdr>
        <w:top w:val="none" w:sz="0" w:space="0" w:color="auto"/>
        <w:left w:val="none" w:sz="0" w:space="0" w:color="auto"/>
        <w:bottom w:val="none" w:sz="0" w:space="0" w:color="auto"/>
        <w:right w:val="none" w:sz="0" w:space="0" w:color="auto"/>
      </w:divBdr>
    </w:div>
    <w:div w:id="259487098">
      <w:bodyDiv w:val="1"/>
      <w:marLeft w:val="0"/>
      <w:marRight w:val="0"/>
      <w:marTop w:val="0"/>
      <w:marBottom w:val="0"/>
      <w:divBdr>
        <w:top w:val="none" w:sz="0" w:space="0" w:color="auto"/>
        <w:left w:val="none" w:sz="0" w:space="0" w:color="auto"/>
        <w:bottom w:val="none" w:sz="0" w:space="0" w:color="auto"/>
        <w:right w:val="none" w:sz="0" w:space="0" w:color="auto"/>
      </w:divBdr>
      <w:divsChild>
        <w:div w:id="1547258625">
          <w:marLeft w:val="0"/>
          <w:marRight w:val="0"/>
          <w:marTop w:val="0"/>
          <w:marBottom w:val="0"/>
          <w:divBdr>
            <w:top w:val="none" w:sz="0" w:space="0" w:color="auto"/>
            <w:left w:val="none" w:sz="0" w:space="0" w:color="auto"/>
            <w:bottom w:val="none" w:sz="0" w:space="0" w:color="auto"/>
            <w:right w:val="none" w:sz="0" w:space="0" w:color="auto"/>
          </w:divBdr>
          <w:divsChild>
            <w:div w:id="510148912">
              <w:marLeft w:val="0"/>
              <w:marRight w:val="0"/>
              <w:marTop w:val="0"/>
              <w:marBottom w:val="0"/>
              <w:divBdr>
                <w:top w:val="none" w:sz="0" w:space="0" w:color="auto"/>
                <w:left w:val="none" w:sz="0" w:space="0" w:color="auto"/>
                <w:bottom w:val="none" w:sz="0" w:space="0" w:color="auto"/>
                <w:right w:val="none" w:sz="0" w:space="0" w:color="auto"/>
              </w:divBdr>
              <w:divsChild>
                <w:div w:id="8888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483085">
      <w:bodyDiv w:val="1"/>
      <w:marLeft w:val="0"/>
      <w:marRight w:val="0"/>
      <w:marTop w:val="0"/>
      <w:marBottom w:val="0"/>
      <w:divBdr>
        <w:top w:val="none" w:sz="0" w:space="0" w:color="auto"/>
        <w:left w:val="none" w:sz="0" w:space="0" w:color="auto"/>
        <w:bottom w:val="none" w:sz="0" w:space="0" w:color="auto"/>
        <w:right w:val="none" w:sz="0" w:space="0" w:color="auto"/>
      </w:divBdr>
      <w:divsChild>
        <w:div w:id="622885400">
          <w:marLeft w:val="0"/>
          <w:marRight w:val="0"/>
          <w:marTop w:val="0"/>
          <w:marBottom w:val="0"/>
          <w:divBdr>
            <w:top w:val="none" w:sz="0" w:space="0" w:color="auto"/>
            <w:left w:val="none" w:sz="0" w:space="0" w:color="auto"/>
            <w:bottom w:val="none" w:sz="0" w:space="0" w:color="auto"/>
            <w:right w:val="none" w:sz="0" w:space="0" w:color="auto"/>
          </w:divBdr>
          <w:divsChild>
            <w:div w:id="1536431353">
              <w:marLeft w:val="0"/>
              <w:marRight w:val="0"/>
              <w:marTop w:val="0"/>
              <w:marBottom w:val="0"/>
              <w:divBdr>
                <w:top w:val="none" w:sz="0" w:space="0" w:color="auto"/>
                <w:left w:val="none" w:sz="0" w:space="0" w:color="auto"/>
                <w:bottom w:val="none" w:sz="0" w:space="0" w:color="auto"/>
                <w:right w:val="none" w:sz="0" w:space="0" w:color="auto"/>
              </w:divBdr>
              <w:divsChild>
                <w:div w:id="909196076">
                  <w:marLeft w:val="0"/>
                  <w:marRight w:val="0"/>
                  <w:marTop w:val="0"/>
                  <w:marBottom w:val="0"/>
                  <w:divBdr>
                    <w:top w:val="none" w:sz="0" w:space="0" w:color="auto"/>
                    <w:left w:val="none" w:sz="0" w:space="0" w:color="auto"/>
                    <w:bottom w:val="none" w:sz="0" w:space="0" w:color="auto"/>
                    <w:right w:val="none" w:sz="0" w:space="0" w:color="auto"/>
                  </w:divBdr>
                </w:div>
                <w:div w:id="8479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464783072">
      <w:bodyDiv w:val="1"/>
      <w:marLeft w:val="0"/>
      <w:marRight w:val="0"/>
      <w:marTop w:val="0"/>
      <w:marBottom w:val="0"/>
      <w:divBdr>
        <w:top w:val="none" w:sz="0" w:space="0" w:color="auto"/>
        <w:left w:val="none" w:sz="0" w:space="0" w:color="auto"/>
        <w:bottom w:val="none" w:sz="0" w:space="0" w:color="auto"/>
        <w:right w:val="none" w:sz="0" w:space="0" w:color="auto"/>
      </w:divBdr>
    </w:div>
    <w:div w:id="476148355">
      <w:bodyDiv w:val="1"/>
      <w:marLeft w:val="0"/>
      <w:marRight w:val="0"/>
      <w:marTop w:val="0"/>
      <w:marBottom w:val="0"/>
      <w:divBdr>
        <w:top w:val="none" w:sz="0" w:space="0" w:color="auto"/>
        <w:left w:val="none" w:sz="0" w:space="0" w:color="auto"/>
        <w:bottom w:val="none" w:sz="0" w:space="0" w:color="auto"/>
        <w:right w:val="none" w:sz="0" w:space="0" w:color="auto"/>
      </w:divBdr>
      <w:divsChild>
        <w:div w:id="1680547089">
          <w:marLeft w:val="0"/>
          <w:marRight w:val="0"/>
          <w:marTop w:val="0"/>
          <w:marBottom w:val="0"/>
          <w:divBdr>
            <w:top w:val="none" w:sz="0" w:space="0" w:color="auto"/>
            <w:left w:val="none" w:sz="0" w:space="0" w:color="auto"/>
            <w:bottom w:val="none" w:sz="0" w:space="0" w:color="auto"/>
            <w:right w:val="none" w:sz="0" w:space="0" w:color="auto"/>
          </w:divBdr>
          <w:divsChild>
            <w:div w:id="1638338443">
              <w:marLeft w:val="0"/>
              <w:marRight w:val="0"/>
              <w:marTop w:val="0"/>
              <w:marBottom w:val="0"/>
              <w:divBdr>
                <w:top w:val="none" w:sz="0" w:space="0" w:color="auto"/>
                <w:left w:val="none" w:sz="0" w:space="0" w:color="auto"/>
                <w:bottom w:val="none" w:sz="0" w:space="0" w:color="auto"/>
                <w:right w:val="none" w:sz="0" w:space="0" w:color="auto"/>
              </w:divBdr>
              <w:divsChild>
                <w:div w:id="91135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7324">
      <w:bodyDiv w:val="1"/>
      <w:marLeft w:val="0"/>
      <w:marRight w:val="0"/>
      <w:marTop w:val="0"/>
      <w:marBottom w:val="0"/>
      <w:divBdr>
        <w:top w:val="none" w:sz="0" w:space="0" w:color="auto"/>
        <w:left w:val="none" w:sz="0" w:space="0" w:color="auto"/>
        <w:bottom w:val="none" w:sz="0" w:space="0" w:color="auto"/>
        <w:right w:val="none" w:sz="0" w:space="0" w:color="auto"/>
      </w:divBdr>
    </w:div>
    <w:div w:id="565729123">
      <w:bodyDiv w:val="1"/>
      <w:marLeft w:val="0"/>
      <w:marRight w:val="0"/>
      <w:marTop w:val="0"/>
      <w:marBottom w:val="0"/>
      <w:divBdr>
        <w:top w:val="none" w:sz="0" w:space="0" w:color="auto"/>
        <w:left w:val="none" w:sz="0" w:space="0" w:color="auto"/>
        <w:bottom w:val="none" w:sz="0" w:space="0" w:color="auto"/>
        <w:right w:val="none" w:sz="0" w:space="0" w:color="auto"/>
      </w:divBdr>
    </w:div>
    <w:div w:id="577324589">
      <w:bodyDiv w:val="1"/>
      <w:marLeft w:val="0"/>
      <w:marRight w:val="0"/>
      <w:marTop w:val="0"/>
      <w:marBottom w:val="0"/>
      <w:divBdr>
        <w:top w:val="none" w:sz="0" w:space="0" w:color="auto"/>
        <w:left w:val="none" w:sz="0" w:space="0" w:color="auto"/>
        <w:bottom w:val="none" w:sz="0" w:space="0" w:color="auto"/>
        <w:right w:val="none" w:sz="0" w:space="0" w:color="auto"/>
      </w:divBdr>
      <w:divsChild>
        <w:div w:id="116610829">
          <w:marLeft w:val="0"/>
          <w:marRight w:val="0"/>
          <w:marTop w:val="0"/>
          <w:marBottom w:val="0"/>
          <w:divBdr>
            <w:top w:val="none" w:sz="0" w:space="0" w:color="auto"/>
            <w:left w:val="none" w:sz="0" w:space="0" w:color="auto"/>
            <w:bottom w:val="none" w:sz="0" w:space="0" w:color="auto"/>
            <w:right w:val="none" w:sz="0" w:space="0" w:color="auto"/>
          </w:divBdr>
          <w:divsChild>
            <w:div w:id="2057703509">
              <w:marLeft w:val="0"/>
              <w:marRight w:val="0"/>
              <w:marTop w:val="0"/>
              <w:marBottom w:val="0"/>
              <w:divBdr>
                <w:top w:val="none" w:sz="0" w:space="0" w:color="auto"/>
                <w:left w:val="none" w:sz="0" w:space="0" w:color="auto"/>
                <w:bottom w:val="none" w:sz="0" w:space="0" w:color="auto"/>
                <w:right w:val="none" w:sz="0" w:space="0" w:color="auto"/>
              </w:divBdr>
              <w:divsChild>
                <w:div w:id="384986638">
                  <w:marLeft w:val="0"/>
                  <w:marRight w:val="0"/>
                  <w:marTop w:val="0"/>
                  <w:marBottom w:val="0"/>
                  <w:divBdr>
                    <w:top w:val="none" w:sz="0" w:space="0" w:color="auto"/>
                    <w:left w:val="none" w:sz="0" w:space="0" w:color="auto"/>
                    <w:bottom w:val="none" w:sz="0" w:space="0" w:color="auto"/>
                    <w:right w:val="none" w:sz="0" w:space="0" w:color="auto"/>
                  </w:divBdr>
                </w:div>
                <w:div w:id="8464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714">
      <w:bodyDiv w:val="1"/>
      <w:marLeft w:val="0"/>
      <w:marRight w:val="0"/>
      <w:marTop w:val="0"/>
      <w:marBottom w:val="0"/>
      <w:divBdr>
        <w:top w:val="none" w:sz="0" w:space="0" w:color="auto"/>
        <w:left w:val="none" w:sz="0" w:space="0" w:color="auto"/>
        <w:bottom w:val="none" w:sz="0" w:space="0" w:color="auto"/>
        <w:right w:val="none" w:sz="0" w:space="0" w:color="auto"/>
      </w:divBdr>
      <w:divsChild>
        <w:div w:id="1060831633">
          <w:marLeft w:val="0"/>
          <w:marRight w:val="0"/>
          <w:marTop w:val="0"/>
          <w:marBottom w:val="0"/>
          <w:divBdr>
            <w:top w:val="none" w:sz="0" w:space="0" w:color="auto"/>
            <w:left w:val="none" w:sz="0" w:space="0" w:color="auto"/>
            <w:bottom w:val="none" w:sz="0" w:space="0" w:color="auto"/>
            <w:right w:val="none" w:sz="0" w:space="0" w:color="auto"/>
          </w:divBdr>
          <w:divsChild>
            <w:div w:id="92406695">
              <w:marLeft w:val="0"/>
              <w:marRight w:val="0"/>
              <w:marTop w:val="0"/>
              <w:marBottom w:val="0"/>
              <w:divBdr>
                <w:top w:val="none" w:sz="0" w:space="0" w:color="auto"/>
                <w:left w:val="none" w:sz="0" w:space="0" w:color="auto"/>
                <w:bottom w:val="none" w:sz="0" w:space="0" w:color="auto"/>
                <w:right w:val="none" w:sz="0" w:space="0" w:color="auto"/>
              </w:divBdr>
              <w:divsChild>
                <w:div w:id="1998069452">
                  <w:marLeft w:val="0"/>
                  <w:marRight w:val="0"/>
                  <w:marTop w:val="0"/>
                  <w:marBottom w:val="0"/>
                  <w:divBdr>
                    <w:top w:val="none" w:sz="0" w:space="0" w:color="auto"/>
                    <w:left w:val="none" w:sz="0" w:space="0" w:color="auto"/>
                    <w:bottom w:val="none" w:sz="0" w:space="0" w:color="auto"/>
                    <w:right w:val="none" w:sz="0" w:space="0" w:color="auto"/>
                  </w:divBdr>
                  <w:divsChild>
                    <w:div w:id="69535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9435">
              <w:marLeft w:val="0"/>
              <w:marRight w:val="0"/>
              <w:marTop w:val="0"/>
              <w:marBottom w:val="0"/>
              <w:divBdr>
                <w:top w:val="none" w:sz="0" w:space="0" w:color="auto"/>
                <w:left w:val="none" w:sz="0" w:space="0" w:color="auto"/>
                <w:bottom w:val="none" w:sz="0" w:space="0" w:color="auto"/>
                <w:right w:val="none" w:sz="0" w:space="0" w:color="auto"/>
              </w:divBdr>
              <w:divsChild>
                <w:div w:id="591158347">
                  <w:marLeft w:val="0"/>
                  <w:marRight w:val="0"/>
                  <w:marTop w:val="0"/>
                  <w:marBottom w:val="0"/>
                  <w:divBdr>
                    <w:top w:val="none" w:sz="0" w:space="0" w:color="auto"/>
                    <w:left w:val="none" w:sz="0" w:space="0" w:color="auto"/>
                    <w:bottom w:val="none" w:sz="0" w:space="0" w:color="auto"/>
                    <w:right w:val="none" w:sz="0" w:space="0" w:color="auto"/>
                  </w:divBdr>
                </w:div>
                <w:div w:id="14850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5152">
      <w:bodyDiv w:val="1"/>
      <w:marLeft w:val="0"/>
      <w:marRight w:val="0"/>
      <w:marTop w:val="0"/>
      <w:marBottom w:val="0"/>
      <w:divBdr>
        <w:top w:val="none" w:sz="0" w:space="0" w:color="auto"/>
        <w:left w:val="none" w:sz="0" w:space="0" w:color="auto"/>
        <w:bottom w:val="none" w:sz="0" w:space="0" w:color="auto"/>
        <w:right w:val="none" w:sz="0" w:space="0" w:color="auto"/>
      </w:divBdr>
    </w:div>
    <w:div w:id="670455075">
      <w:bodyDiv w:val="1"/>
      <w:marLeft w:val="0"/>
      <w:marRight w:val="0"/>
      <w:marTop w:val="0"/>
      <w:marBottom w:val="0"/>
      <w:divBdr>
        <w:top w:val="none" w:sz="0" w:space="0" w:color="auto"/>
        <w:left w:val="none" w:sz="0" w:space="0" w:color="auto"/>
        <w:bottom w:val="none" w:sz="0" w:space="0" w:color="auto"/>
        <w:right w:val="none" w:sz="0" w:space="0" w:color="auto"/>
      </w:divBdr>
    </w:div>
    <w:div w:id="756557568">
      <w:bodyDiv w:val="1"/>
      <w:marLeft w:val="0"/>
      <w:marRight w:val="0"/>
      <w:marTop w:val="0"/>
      <w:marBottom w:val="0"/>
      <w:divBdr>
        <w:top w:val="none" w:sz="0" w:space="0" w:color="auto"/>
        <w:left w:val="none" w:sz="0" w:space="0" w:color="auto"/>
        <w:bottom w:val="none" w:sz="0" w:space="0" w:color="auto"/>
        <w:right w:val="none" w:sz="0" w:space="0" w:color="auto"/>
      </w:divBdr>
      <w:divsChild>
        <w:div w:id="643311063">
          <w:marLeft w:val="0"/>
          <w:marRight w:val="0"/>
          <w:marTop w:val="0"/>
          <w:marBottom w:val="0"/>
          <w:divBdr>
            <w:top w:val="none" w:sz="0" w:space="0" w:color="auto"/>
            <w:left w:val="none" w:sz="0" w:space="0" w:color="auto"/>
            <w:bottom w:val="none" w:sz="0" w:space="0" w:color="auto"/>
            <w:right w:val="none" w:sz="0" w:space="0" w:color="auto"/>
          </w:divBdr>
          <w:divsChild>
            <w:div w:id="940145403">
              <w:marLeft w:val="0"/>
              <w:marRight w:val="0"/>
              <w:marTop w:val="0"/>
              <w:marBottom w:val="0"/>
              <w:divBdr>
                <w:top w:val="none" w:sz="0" w:space="0" w:color="auto"/>
                <w:left w:val="none" w:sz="0" w:space="0" w:color="auto"/>
                <w:bottom w:val="none" w:sz="0" w:space="0" w:color="auto"/>
                <w:right w:val="none" w:sz="0" w:space="0" w:color="auto"/>
              </w:divBdr>
              <w:divsChild>
                <w:div w:id="6416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950043">
      <w:bodyDiv w:val="1"/>
      <w:marLeft w:val="0"/>
      <w:marRight w:val="0"/>
      <w:marTop w:val="0"/>
      <w:marBottom w:val="0"/>
      <w:divBdr>
        <w:top w:val="none" w:sz="0" w:space="0" w:color="auto"/>
        <w:left w:val="none" w:sz="0" w:space="0" w:color="auto"/>
        <w:bottom w:val="none" w:sz="0" w:space="0" w:color="auto"/>
        <w:right w:val="none" w:sz="0" w:space="0" w:color="auto"/>
      </w:divBdr>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045449291">
      <w:bodyDiv w:val="1"/>
      <w:marLeft w:val="0"/>
      <w:marRight w:val="0"/>
      <w:marTop w:val="0"/>
      <w:marBottom w:val="0"/>
      <w:divBdr>
        <w:top w:val="none" w:sz="0" w:space="0" w:color="auto"/>
        <w:left w:val="none" w:sz="0" w:space="0" w:color="auto"/>
        <w:bottom w:val="none" w:sz="0" w:space="0" w:color="auto"/>
        <w:right w:val="none" w:sz="0" w:space="0" w:color="auto"/>
      </w:divBdr>
    </w:div>
    <w:div w:id="1124957854">
      <w:bodyDiv w:val="1"/>
      <w:marLeft w:val="0"/>
      <w:marRight w:val="0"/>
      <w:marTop w:val="0"/>
      <w:marBottom w:val="0"/>
      <w:divBdr>
        <w:top w:val="none" w:sz="0" w:space="0" w:color="auto"/>
        <w:left w:val="none" w:sz="0" w:space="0" w:color="auto"/>
        <w:bottom w:val="none" w:sz="0" w:space="0" w:color="auto"/>
        <w:right w:val="none" w:sz="0" w:space="0" w:color="auto"/>
      </w:divBdr>
    </w:div>
    <w:div w:id="1137065656">
      <w:bodyDiv w:val="1"/>
      <w:marLeft w:val="0"/>
      <w:marRight w:val="0"/>
      <w:marTop w:val="0"/>
      <w:marBottom w:val="0"/>
      <w:divBdr>
        <w:top w:val="none" w:sz="0" w:space="0" w:color="auto"/>
        <w:left w:val="none" w:sz="0" w:space="0" w:color="auto"/>
        <w:bottom w:val="none" w:sz="0" w:space="0" w:color="auto"/>
        <w:right w:val="none" w:sz="0" w:space="0" w:color="auto"/>
      </w:divBdr>
      <w:divsChild>
        <w:div w:id="36320655">
          <w:marLeft w:val="0"/>
          <w:marRight w:val="0"/>
          <w:marTop w:val="0"/>
          <w:marBottom w:val="0"/>
          <w:divBdr>
            <w:top w:val="none" w:sz="0" w:space="0" w:color="auto"/>
            <w:left w:val="none" w:sz="0" w:space="0" w:color="auto"/>
            <w:bottom w:val="none" w:sz="0" w:space="0" w:color="auto"/>
            <w:right w:val="none" w:sz="0" w:space="0" w:color="auto"/>
          </w:divBdr>
          <w:divsChild>
            <w:div w:id="2021809722">
              <w:marLeft w:val="0"/>
              <w:marRight w:val="0"/>
              <w:marTop w:val="0"/>
              <w:marBottom w:val="0"/>
              <w:divBdr>
                <w:top w:val="none" w:sz="0" w:space="0" w:color="auto"/>
                <w:left w:val="none" w:sz="0" w:space="0" w:color="auto"/>
                <w:bottom w:val="none" w:sz="0" w:space="0" w:color="auto"/>
                <w:right w:val="none" w:sz="0" w:space="0" w:color="auto"/>
              </w:divBdr>
              <w:divsChild>
                <w:div w:id="2011443267">
                  <w:marLeft w:val="0"/>
                  <w:marRight w:val="0"/>
                  <w:marTop w:val="0"/>
                  <w:marBottom w:val="0"/>
                  <w:divBdr>
                    <w:top w:val="none" w:sz="0" w:space="0" w:color="auto"/>
                    <w:left w:val="none" w:sz="0" w:space="0" w:color="auto"/>
                    <w:bottom w:val="none" w:sz="0" w:space="0" w:color="auto"/>
                    <w:right w:val="none" w:sz="0" w:space="0" w:color="auto"/>
                  </w:divBdr>
                </w:div>
                <w:div w:id="2143695455">
                  <w:marLeft w:val="0"/>
                  <w:marRight w:val="0"/>
                  <w:marTop w:val="0"/>
                  <w:marBottom w:val="0"/>
                  <w:divBdr>
                    <w:top w:val="none" w:sz="0" w:space="0" w:color="auto"/>
                    <w:left w:val="none" w:sz="0" w:space="0" w:color="auto"/>
                    <w:bottom w:val="none" w:sz="0" w:space="0" w:color="auto"/>
                    <w:right w:val="none" w:sz="0" w:space="0" w:color="auto"/>
                  </w:divBdr>
                </w:div>
              </w:divsChild>
            </w:div>
            <w:div w:id="113914180">
              <w:marLeft w:val="0"/>
              <w:marRight w:val="0"/>
              <w:marTop w:val="0"/>
              <w:marBottom w:val="0"/>
              <w:divBdr>
                <w:top w:val="none" w:sz="0" w:space="0" w:color="auto"/>
                <w:left w:val="none" w:sz="0" w:space="0" w:color="auto"/>
                <w:bottom w:val="none" w:sz="0" w:space="0" w:color="auto"/>
                <w:right w:val="none" w:sz="0" w:space="0" w:color="auto"/>
              </w:divBdr>
              <w:divsChild>
                <w:div w:id="17940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085156">
      <w:bodyDiv w:val="1"/>
      <w:marLeft w:val="0"/>
      <w:marRight w:val="0"/>
      <w:marTop w:val="0"/>
      <w:marBottom w:val="0"/>
      <w:divBdr>
        <w:top w:val="none" w:sz="0" w:space="0" w:color="auto"/>
        <w:left w:val="none" w:sz="0" w:space="0" w:color="auto"/>
        <w:bottom w:val="none" w:sz="0" w:space="0" w:color="auto"/>
        <w:right w:val="none" w:sz="0" w:space="0" w:color="auto"/>
      </w:divBdr>
    </w:div>
    <w:div w:id="1256406132">
      <w:bodyDiv w:val="1"/>
      <w:marLeft w:val="0"/>
      <w:marRight w:val="0"/>
      <w:marTop w:val="0"/>
      <w:marBottom w:val="0"/>
      <w:divBdr>
        <w:top w:val="none" w:sz="0" w:space="0" w:color="auto"/>
        <w:left w:val="none" w:sz="0" w:space="0" w:color="auto"/>
        <w:bottom w:val="none" w:sz="0" w:space="0" w:color="auto"/>
        <w:right w:val="none" w:sz="0" w:space="0" w:color="auto"/>
      </w:divBdr>
    </w:div>
    <w:div w:id="1317148910">
      <w:bodyDiv w:val="1"/>
      <w:marLeft w:val="0"/>
      <w:marRight w:val="0"/>
      <w:marTop w:val="0"/>
      <w:marBottom w:val="0"/>
      <w:divBdr>
        <w:top w:val="none" w:sz="0" w:space="0" w:color="auto"/>
        <w:left w:val="none" w:sz="0" w:space="0" w:color="auto"/>
        <w:bottom w:val="none" w:sz="0" w:space="0" w:color="auto"/>
        <w:right w:val="none" w:sz="0" w:space="0" w:color="auto"/>
      </w:divBdr>
      <w:divsChild>
        <w:div w:id="474033364">
          <w:marLeft w:val="0"/>
          <w:marRight w:val="0"/>
          <w:marTop w:val="0"/>
          <w:marBottom w:val="0"/>
          <w:divBdr>
            <w:top w:val="none" w:sz="0" w:space="0" w:color="auto"/>
            <w:left w:val="none" w:sz="0" w:space="0" w:color="auto"/>
            <w:bottom w:val="none" w:sz="0" w:space="0" w:color="auto"/>
            <w:right w:val="none" w:sz="0" w:space="0" w:color="auto"/>
          </w:divBdr>
          <w:divsChild>
            <w:div w:id="1414085473">
              <w:marLeft w:val="0"/>
              <w:marRight w:val="0"/>
              <w:marTop w:val="0"/>
              <w:marBottom w:val="0"/>
              <w:divBdr>
                <w:top w:val="none" w:sz="0" w:space="0" w:color="auto"/>
                <w:left w:val="none" w:sz="0" w:space="0" w:color="auto"/>
                <w:bottom w:val="none" w:sz="0" w:space="0" w:color="auto"/>
                <w:right w:val="none" w:sz="0" w:space="0" w:color="auto"/>
              </w:divBdr>
              <w:divsChild>
                <w:div w:id="1335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7692">
      <w:bodyDiv w:val="1"/>
      <w:marLeft w:val="0"/>
      <w:marRight w:val="0"/>
      <w:marTop w:val="0"/>
      <w:marBottom w:val="0"/>
      <w:divBdr>
        <w:top w:val="none" w:sz="0" w:space="0" w:color="auto"/>
        <w:left w:val="none" w:sz="0" w:space="0" w:color="auto"/>
        <w:bottom w:val="none" w:sz="0" w:space="0" w:color="auto"/>
        <w:right w:val="none" w:sz="0" w:space="0" w:color="auto"/>
      </w:divBdr>
    </w:div>
    <w:div w:id="1417481163">
      <w:bodyDiv w:val="1"/>
      <w:marLeft w:val="0"/>
      <w:marRight w:val="0"/>
      <w:marTop w:val="0"/>
      <w:marBottom w:val="0"/>
      <w:divBdr>
        <w:top w:val="none" w:sz="0" w:space="0" w:color="auto"/>
        <w:left w:val="none" w:sz="0" w:space="0" w:color="auto"/>
        <w:bottom w:val="none" w:sz="0" w:space="0" w:color="auto"/>
        <w:right w:val="none" w:sz="0" w:space="0" w:color="auto"/>
      </w:divBdr>
      <w:divsChild>
        <w:div w:id="508329938">
          <w:marLeft w:val="0"/>
          <w:marRight w:val="0"/>
          <w:marTop w:val="0"/>
          <w:marBottom w:val="0"/>
          <w:divBdr>
            <w:top w:val="none" w:sz="0" w:space="0" w:color="auto"/>
            <w:left w:val="none" w:sz="0" w:space="0" w:color="auto"/>
            <w:bottom w:val="none" w:sz="0" w:space="0" w:color="auto"/>
            <w:right w:val="none" w:sz="0" w:space="0" w:color="auto"/>
          </w:divBdr>
          <w:divsChild>
            <w:div w:id="15085712">
              <w:marLeft w:val="0"/>
              <w:marRight w:val="0"/>
              <w:marTop w:val="0"/>
              <w:marBottom w:val="0"/>
              <w:divBdr>
                <w:top w:val="none" w:sz="0" w:space="0" w:color="auto"/>
                <w:left w:val="none" w:sz="0" w:space="0" w:color="auto"/>
                <w:bottom w:val="none" w:sz="0" w:space="0" w:color="auto"/>
                <w:right w:val="none" w:sz="0" w:space="0" w:color="auto"/>
              </w:divBdr>
              <w:divsChild>
                <w:div w:id="1516263023">
                  <w:marLeft w:val="0"/>
                  <w:marRight w:val="0"/>
                  <w:marTop w:val="0"/>
                  <w:marBottom w:val="0"/>
                  <w:divBdr>
                    <w:top w:val="none" w:sz="0" w:space="0" w:color="auto"/>
                    <w:left w:val="none" w:sz="0" w:space="0" w:color="auto"/>
                    <w:bottom w:val="none" w:sz="0" w:space="0" w:color="auto"/>
                    <w:right w:val="none" w:sz="0" w:space="0" w:color="auto"/>
                  </w:divBdr>
                </w:div>
                <w:div w:id="1872105500">
                  <w:marLeft w:val="0"/>
                  <w:marRight w:val="0"/>
                  <w:marTop w:val="0"/>
                  <w:marBottom w:val="0"/>
                  <w:divBdr>
                    <w:top w:val="none" w:sz="0" w:space="0" w:color="auto"/>
                    <w:left w:val="none" w:sz="0" w:space="0" w:color="auto"/>
                    <w:bottom w:val="none" w:sz="0" w:space="0" w:color="auto"/>
                    <w:right w:val="none" w:sz="0" w:space="0" w:color="auto"/>
                  </w:divBdr>
                </w:div>
              </w:divsChild>
            </w:div>
            <w:div w:id="2069376548">
              <w:marLeft w:val="0"/>
              <w:marRight w:val="0"/>
              <w:marTop w:val="0"/>
              <w:marBottom w:val="0"/>
              <w:divBdr>
                <w:top w:val="none" w:sz="0" w:space="0" w:color="auto"/>
                <w:left w:val="none" w:sz="0" w:space="0" w:color="auto"/>
                <w:bottom w:val="none" w:sz="0" w:space="0" w:color="auto"/>
                <w:right w:val="none" w:sz="0" w:space="0" w:color="auto"/>
              </w:divBdr>
              <w:divsChild>
                <w:div w:id="1554074622">
                  <w:marLeft w:val="0"/>
                  <w:marRight w:val="0"/>
                  <w:marTop w:val="0"/>
                  <w:marBottom w:val="0"/>
                  <w:divBdr>
                    <w:top w:val="none" w:sz="0" w:space="0" w:color="auto"/>
                    <w:left w:val="none" w:sz="0" w:space="0" w:color="auto"/>
                    <w:bottom w:val="none" w:sz="0" w:space="0" w:color="auto"/>
                    <w:right w:val="none" w:sz="0" w:space="0" w:color="auto"/>
                  </w:divBdr>
                  <w:divsChild>
                    <w:div w:id="17684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7215">
              <w:marLeft w:val="0"/>
              <w:marRight w:val="0"/>
              <w:marTop w:val="0"/>
              <w:marBottom w:val="0"/>
              <w:divBdr>
                <w:top w:val="none" w:sz="0" w:space="0" w:color="auto"/>
                <w:left w:val="none" w:sz="0" w:space="0" w:color="auto"/>
                <w:bottom w:val="none" w:sz="0" w:space="0" w:color="auto"/>
                <w:right w:val="none" w:sz="0" w:space="0" w:color="auto"/>
              </w:divBdr>
              <w:divsChild>
                <w:div w:id="10569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84581">
      <w:bodyDiv w:val="1"/>
      <w:marLeft w:val="0"/>
      <w:marRight w:val="0"/>
      <w:marTop w:val="0"/>
      <w:marBottom w:val="0"/>
      <w:divBdr>
        <w:top w:val="none" w:sz="0" w:space="0" w:color="auto"/>
        <w:left w:val="none" w:sz="0" w:space="0" w:color="auto"/>
        <w:bottom w:val="none" w:sz="0" w:space="0" w:color="auto"/>
        <w:right w:val="none" w:sz="0" w:space="0" w:color="auto"/>
      </w:divBdr>
    </w:div>
    <w:div w:id="1653677452">
      <w:bodyDiv w:val="1"/>
      <w:marLeft w:val="0"/>
      <w:marRight w:val="0"/>
      <w:marTop w:val="0"/>
      <w:marBottom w:val="0"/>
      <w:divBdr>
        <w:top w:val="none" w:sz="0" w:space="0" w:color="auto"/>
        <w:left w:val="none" w:sz="0" w:space="0" w:color="auto"/>
        <w:bottom w:val="none" w:sz="0" w:space="0" w:color="auto"/>
        <w:right w:val="none" w:sz="0" w:space="0" w:color="auto"/>
      </w:divBdr>
      <w:divsChild>
        <w:div w:id="603726890">
          <w:marLeft w:val="0"/>
          <w:marRight w:val="0"/>
          <w:marTop w:val="0"/>
          <w:marBottom w:val="0"/>
          <w:divBdr>
            <w:top w:val="none" w:sz="0" w:space="0" w:color="auto"/>
            <w:left w:val="none" w:sz="0" w:space="0" w:color="auto"/>
            <w:bottom w:val="none" w:sz="0" w:space="0" w:color="auto"/>
            <w:right w:val="none" w:sz="0" w:space="0" w:color="auto"/>
          </w:divBdr>
          <w:divsChild>
            <w:div w:id="1702240071">
              <w:marLeft w:val="0"/>
              <w:marRight w:val="0"/>
              <w:marTop w:val="0"/>
              <w:marBottom w:val="0"/>
              <w:divBdr>
                <w:top w:val="none" w:sz="0" w:space="0" w:color="auto"/>
                <w:left w:val="none" w:sz="0" w:space="0" w:color="auto"/>
                <w:bottom w:val="none" w:sz="0" w:space="0" w:color="auto"/>
                <w:right w:val="none" w:sz="0" w:space="0" w:color="auto"/>
              </w:divBdr>
              <w:divsChild>
                <w:div w:id="217938385">
                  <w:marLeft w:val="0"/>
                  <w:marRight w:val="0"/>
                  <w:marTop w:val="0"/>
                  <w:marBottom w:val="0"/>
                  <w:divBdr>
                    <w:top w:val="none" w:sz="0" w:space="0" w:color="auto"/>
                    <w:left w:val="none" w:sz="0" w:space="0" w:color="auto"/>
                    <w:bottom w:val="none" w:sz="0" w:space="0" w:color="auto"/>
                    <w:right w:val="none" w:sz="0" w:space="0" w:color="auto"/>
                  </w:divBdr>
                  <w:divsChild>
                    <w:div w:id="5029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42355">
              <w:marLeft w:val="0"/>
              <w:marRight w:val="0"/>
              <w:marTop w:val="0"/>
              <w:marBottom w:val="0"/>
              <w:divBdr>
                <w:top w:val="none" w:sz="0" w:space="0" w:color="auto"/>
                <w:left w:val="none" w:sz="0" w:space="0" w:color="auto"/>
                <w:bottom w:val="none" w:sz="0" w:space="0" w:color="auto"/>
                <w:right w:val="none" w:sz="0" w:space="0" w:color="auto"/>
              </w:divBdr>
              <w:divsChild>
                <w:div w:id="40061109">
                  <w:marLeft w:val="0"/>
                  <w:marRight w:val="0"/>
                  <w:marTop w:val="0"/>
                  <w:marBottom w:val="0"/>
                  <w:divBdr>
                    <w:top w:val="none" w:sz="0" w:space="0" w:color="auto"/>
                    <w:left w:val="none" w:sz="0" w:space="0" w:color="auto"/>
                    <w:bottom w:val="none" w:sz="0" w:space="0" w:color="auto"/>
                    <w:right w:val="none" w:sz="0" w:space="0" w:color="auto"/>
                  </w:divBdr>
                </w:div>
              </w:divsChild>
            </w:div>
            <w:div w:id="762262797">
              <w:marLeft w:val="0"/>
              <w:marRight w:val="0"/>
              <w:marTop w:val="0"/>
              <w:marBottom w:val="0"/>
              <w:divBdr>
                <w:top w:val="none" w:sz="0" w:space="0" w:color="auto"/>
                <w:left w:val="none" w:sz="0" w:space="0" w:color="auto"/>
                <w:bottom w:val="none" w:sz="0" w:space="0" w:color="auto"/>
                <w:right w:val="none" w:sz="0" w:space="0" w:color="auto"/>
              </w:divBdr>
              <w:divsChild>
                <w:div w:id="1834103309">
                  <w:marLeft w:val="0"/>
                  <w:marRight w:val="0"/>
                  <w:marTop w:val="0"/>
                  <w:marBottom w:val="0"/>
                  <w:divBdr>
                    <w:top w:val="none" w:sz="0" w:space="0" w:color="auto"/>
                    <w:left w:val="none" w:sz="0" w:space="0" w:color="auto"/>
                    <w:bottom w:val="none" w:sz="0" w:space="0" w:color="auto"/>
                    <w:right w:val="none" w:sz="0" w:space="0" w:color="auto"/>
                  </w:divBdr>
                  <w:divsChild>
                    <w:div w:id="55666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05758">
              <w:marLeft w:val="0"/>
              <w:marRight w:val="0"/>
              <w:marTop w:val="0"/>
              <w:marBottom w:val="0"/>
              <w:divBdr>
                <w:top w:val="none" w:sz="0" w:space="0" w:color="auto"/>
                <w:left w:val="none" w:sz="0" w:space="0" w:color="auto"/>
                <w:bottom w:val="none" w:sz="0" w:space="0" w:color="auto"/>
                <w:right w:val="none" w:sz="0" w:space="0" w:color="auto"/>
              </w:divBdr>
              <w:divsChild>
                <w:div w:id="962728259">
                  <w:marLeft w:val="0"/>
                  <w:marRight w:val="0"/>
                  <w:marTop w:val="0"/>
                  <w:marBottom w:val="0"/>
                  <w:divBdr>
                    <w:top w:val="none" w:sz="0" w:space="0" w:color="auto"/>
                    <w:left w:val="none" w:sz="0" w:space="0" w:color="auto"/>
                    <w:bottom w:val="none" w:sz="0" w:space="0" w:color="auto"/>
                    <w:right w:val="none" w:sz="0" w:space="0" w:color="auto"/>
                  </w:divBdr>
                </w:div>
              </w:divsChild>
            </w:div>
            <w:div w:id="1617103753">
              <w:marLeft w:val="0"/>
              <w:marRight w:val="0"/>
              <w:marTop w:val="0"/>
              <w:marBottom w:val="0"/>
              <w:divBdr>
                <w:top w:val="none" w:sz="0" w:space="0" w:color="auto"/>
                <w:left w:val="none" w:sz="0" w:space="0" w:color="auto"/>
                <w:bottom w:val="none" w:sz="0" w:space="0" w:color="auto"/>
                <w:right w:val="none" w:sz="0" w:space="0" w:color="auto"/>
              </w:divBdr>
              <w:divsChild>
                <w:div w:id="6648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825706578">
      <w:bodyDiv w:val="1"/>
      <w:marLeft w:val="0"/>
      <w:marRight w:val="0"/>
      <w:marTop w:val="0"/>
      <w:marBottom w:val="0"/>
      <w:divBdr>
        <w:top w:val="none" w:sz="0" w:space="0" w:color="auto"/>
        <w:left w:val="none" w:sz="0" w:space="0" w:color="auto"/>
        <w:bottom w:val="none" w:sz="0" w:space="0" w:color="auto"/>
        <w:right w:val="none" w:sz="0" w:space="0" w:color="auto"/>
      </w:divBdr>
    </w:div>
    <w:div w:id="1867327877">
      <w:bodyDiv w:val="1"/>
      <w:marLeft w:val="0"/>
      <w:marRight w:val="0"/>
      <w:marTop w:val="0"/>
      <w:marBottom w:val="0"/>
      <w:divBdr>
        <w:top w:val="none" w:sz="0" w:space="0" w:color="auto"/>
        <w:left w:val="none" w:sz="0" w:space="0" w:color="auto"/>
        <w:bottom w:val="none" w:sz="0" w:space="0" w:color="auto"/>
        <w:right w:val="none" w:sz="0" w:space="0" w:color="auto"/>
      </w:divBdr>
      <w:divsChild>
        <w:div w:id="1367176593">
          <w:marLeft w:val="0"/>
          <w:marRight w:val="0"/>
          <w:marTop w:val="0"/>
          <w:marBottom w:val="0"/>
          <w:divBdr>
            <w:top w:val="none" w:sz="0" w:space="0" w:color="auto"/>
            <w:left w:val="none" w:sz="0" w:space="0" w:color="auto"/>
            <w:bottom w:val="none" w:sz="0" w:space="0" w:color="auto"/>
            <w:right w:val="none" w:sz="0" w:space="0" w:color="auto"/>
          </w:divBdr>
          <w:divsChild>
            <w:div w:id="1589188428">
              <w:marLeft w:val="0"/>
              <w:marRight w:val="0"/>
              <w:marTop w:val="0"/>
              <w:marBottom w:val="0"/>
              <w:divBdr>
                <w:top w:val="none" w:sz="0" w:space="0" w:color="auto"/>
                <w:left w:val="none" w:sz="0" w:space="0" w:color="auto"/>
                <w:bottom w:val="none" w:sz="0" w:space="0" w:color="auto"/>
                <w:right w:val="none" w:sz="0" w:space="0" w:color="auto"/>
              </w:divBdr>
              <w:divsChild>
                <w:div w:id="2137988406">
                  <w:marLeft w:val="0"/>
                  <w:marRight w:val="0"/>
                  <w:marTop w:val="0"/>
                  <w:marBottom w:val="0"/>
                  <w:divBdr>
                    <w:top w:val="none" w:sz="0" w:space="0" w:color="auto"/>
                    <w:left w:val="none" w:sz="0" w:space="0" w:color="auto"/>
                    <w:bottom w:val="none" w:sz="0" w:space="0" w:color="auto"/>
                    <w:right w:val="none" w:sz="0" w:space="0" w:color="auto"/>
                  </w:divBdr>
                </w:div>
                <w:div w:id="8016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729302">
      <w:bodyDiv w:val="1"/>
      <w:marLeft w:val="0"/>
      <w:marRight w:val="0"/>
      <w:marTop w:val="0"/>
      <w:marBottom w:val="0"/>
      <w:divBdr>
        <w:top w:val="none" w:sz="0" w:space="0" w:color="auto"/>
        <w:left w:val="none" w:sz="0" w:space="0" w:color="auto"/>
        <w:bottom w:val="none" w:sz="0" w:space="0" w:color="auto"/>
        <w:right w:val="none" w:sz="0" w:space="0" w:color="auto"/>
      </w:divBdr>
      <w:divsChild>
        <w:div w:id="1130785485">
          <w:marLeft w:val="0"/>
          <w:marRight w:val="0"/>
          <w:marTop w:val="0"/>
          <w:marBottom w:val="0"/>
          <w:divBdr>
            <w:top w:val="none" w:sz="0" w:space="0" w:color="auto"/>
            <w:left w:val="none" w:sz="0" w:space="0" w:color="auto"/>
            <w:bottom w:val="none" w:sz="0" w:space="0" w:color="auto"/>
            <w:right w:val="none" w:sz="0" w:space="0" w:color="auto"/>
          </w:divBdr>
          <w:divsChild>
            <w:div w:id="32201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 w:id="2101220406">
      <w:bodyDiv w:val="1"/>
      <w:marLeft w:val="0"/>
      <w:marRight w:val="0"/>
      <w:marTop w:val="0"/>
      <w:marBottom w:val="0"/>
      <w:divBdr>
        <w:top w:val="none" w:sz="0" w:space="0" w:color="auto"/>
        <w:left w:val="none" w:sz="0" w:space="0" w:color="auto"/>
        <w:bottom w:val="none" w:sz="0" w:space="0" w:color="auto"/>
        <w:right w:val="none" w:sz="0" w:space="0" w:color="auto"/>
      </w:divBdr>
      <w:divsChild>
        <w:div w:id="740367835">
          <w:marLeft w:val="0"/>
          <w:marRight w:val="0"/>
          <w:marTop w:val="0"/>
          <w:marBottom w:val="0"/>
          <w:divBdr>
            <w:top w:val="none" w:sz="0" w:space="0" w:color="auto"/>
            <w:left w:val="none" w:sz="0" w:space="0" w:color="auto"/>
            <w:bottom w:val="none" w:sz="0" w:space="0" w:color="auto"/>
            <w:right w:val="none" w:sz="0" w:space="0" w:color="auto"/>
          </w:divBdr>
          <w:divsChild>
            <w:div w:id="433087389">
              <w:marLeft w:val="0"/>
              <w:marRight w:val="0"/>
              <w:marTop w:val="0"/>
              <w:marBottom w:val="0"/>
              <w:divBdr>
                <w:top w:val="none" w:sz="0" w:space="0" w:color="auto"/>
                <w:left w:val="none" w:sz="0" w:space="0" w:color="auto"/>
                <w:bottom w:val="none" w:sz="0" w:space="0" w:color="auto"/>
                <w:right w:val="none" w:sz="0" w:space="0" w:color="auto"/>
              </w:divBdr>
              <w:divsChild>
                <w:div w:id="11131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vuedlf.com/auteurs/alexis-husser/" TargetMode="External"/><Relationship Id="rId5" Type="http://schemas.openxmlformats.org/officeDocument/2006/relationships/webSettings" Target="webSettings.xml"/><Relationship Id="rId10" Type="http://schemas.openxmlformats.org/officeDocument/2006/relationships/hyperlink" Target="https://revuedlf.com/type-chronique/commentaire/" TargetMode="External"/><Relationship Id="rId4" Type="http://schemas.openxmlformats.org/officeDocument/2006/relationships/settings" Target="settings.xml"/><Relationship Id="rId9" Type="http://schemas.openxmlformats.org/officeDocument/2006/relationships/hyperlink" Target="https://curia.europa.eu/juris/document/document.jsf?text=&amp;docid=238176&amp;pageIndex=0&amp;doclang=en&amp;mode=req&amp;dir=&amp;occ=first&amp;part=1&amp;cid=422230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D3A0C-D716-496C-B374-8AB0CD36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1633</Words>
  <Characters>9314</Characters>
  <Application>Microsoft Office Word</Application>
  <DocSecurity>0</DocSecurity>
  <Lines>77</Lines>
  <Paragraphs>21</Paragraphs>
  <ScaleCrop>false</ScaleCrop>
  <HeadingPairs>
    <vt:vector size="8" baseType="variant">
      <vt:variant>
        <vt:lpstr>Titre</vt:lpstr>
      </vt:variant>
      <vt:variant>
        <vt:i4>1</vt:i4>
      </vt:variant>
      <vt:variant>
        <vt:lpstr>Title</vt:lpstr>
      </vt:variant>
      <vt:variant>
        <vt:i4>1</vt:i4>
      </vt:variant>
      <vt:variant>
        <vt:lpstr>Títol</vt:lpstr>
      </vt:variant>
      <vt:variant>
        <vt:i4>1</vt:i4>
      </vt:variant>
      <vt:variant>
        <vt:lpstr>Título</vt:lpstr>
      </vt:variant>
      <vt:variant>
        <vt:i4>1</vt:i4>
      </vt:variant>
    </vt:vector>
  </HeadingPairs>
  <TitlesOfParts>
    <vt:vector size="4" baseType="lpstr">
      <vt:lpstr/>
      <vt:lpstr/>
      <vt: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Esther Jordana Santiago</dc:creator>
  <cp:keywords/>
  <dc:description/>
  <cp:lastModifiedBy>Andréa BARREIRA</cp:lastModifiedBy>
  <cp:revision>9</cp:revision>
  <dcterms:created xsi:type="dcterms:W3CDTF">2025-02-03T14:31:00Z</dcterms:created>
  <dcterms:modified xsi:type="dcterms:W3CDTF">2025-02-11T11:35:00Z</dcterms:modified>
</cp:coreProperties>
</file>